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FA8D" w14:textId="112CA8E6" w:rsidR="005D061D" w:rsidRDefault="00C021CB">
      <w:pPr>
        <w:pStyle w:val="Ttulo"/>
      </w:pPr>
      <w:r>
        <w:rPr>
          <w:spacing w:val="-1"/>
        </w:rPr>
        <w:t xml:space="preserve">Declaración responsable de cesión y tratamiento </w:t>
      </w:r>
      <w:r>
        <w:t>de datos en</w:t>
      </w:r>
      <w:r>
        <w:rPr>
          <w:spacing w:val="1"/>
        </w:rPr>
        <w:t xml:space="preserve"> </w:t>
      </w:r>
      <w:r>
        <w:rPr>
          <w:w w:val="95"/>
        </w:rPr>
        <w:t>relación</w:t>
      </w:r>
      <w:r>
        <w:rPr>
          <w:spacing w:val="13"/>
          <w:w w:val="95"/>
        </w:rPr>
        <w:t xml:space="preserve"> </w:t>
      </w:r>
      <w:r>
        <w:rPr>
          <w:w w:val="95"/>
        </w:rPr>
        <w:t>con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ejecución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actuaciones</w:t>
      </w:r>
      <w:r>
        <w:rPr>
          <w:spacing w:val="18"/>
          <w:w w:val="95"/>
        </w:rPr>
        <w:t xml:space="preserve"> </w:t>
      </w:r>
      <w:r>
        <w:rPr>
          <w:w w:val="95"/>
        </w:rPr>
        <w:t>del</w:t>
      </w:r>
      <w:r>
        <w:rPr>
          <w:spacing w:val="21"/>
          <w:w w:val="95"/>
        </w:rPr>
        <w:t xml:space="preserve"> &lt;&lt;</w:t>
      </w:r>
      <w:r>
        <w:rPr>
          <w:w w:val="95"/>
        </w:rPr>
        <w:t>P</w:t>
      </w:r>
      <w:r>
        <w:rPr>
          <w:w w:val="95"/>
        </w:rPr>
        <w:t>lan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recuperación,</w:t>
      </w:r>
      <w:r>
        <w:rPr>
          <w:spacing w:val="-65"/>
          <w:w w:val="95"/>
        </w:rPr>
        <w:t xml:space="preserve"> </w:t>
      </w:r>
      <w:r>
        <w:t>transformación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resiliencia</w:t>
      </w:r>
      <w:r>
        <w:rPr>
          <w:spacing w:val="-8"/>
        </w:rPr>
        <w:t xml:space="preserve"> </w:t>
      </w:r>
      <w:r>
        <w:t>(PRTR)- Financiado por la Unión Europea- NextGenerationEU &gt;&gt;</w:t>
      </w:r>
      <w:r>
        <w:t>,</w:t>
      </w:r>
      <w:r>
        <w:rPr>
          <w:spacing w:val="-8"/>
        </w:rPr>
        <w:t xml:space="preserve"> </w:t>
      </w:r>
      <w:r>
        <w:t>programa</w:t>
      </w:r>
    </w:p>
    <w:p w14:paraId="73ECB1EF" w14:textId="1D2D15C5" w:rsidR="005D061D" w:rsidRPr="00C021CB" w:rsidRDefault="00C021CB" w:rsidP="000517A9">
      <w:pPr>
        <w:pStyle w:val="Ttulo"/>
        <w:spacing w:before="240"/>
        <w:ind w:left="0" w:right="83" w:firstLine="0"/>
        <w:rPr>
          <w:lang w:val="en-US"/>
        </w:rPr>
      </w:pPr>
      <w:r>
        <w:rPr>
          <w:lang w:val="en-US"/>
        </w:rPr>
        <w:t>H2 PIONEROS</w:t>
      </w:r>
    </w:p>
    <w:p w14:paraId="5A731F4D" w14:textId="77777777" w:rsidR="005D061D" w:rsidRPr="000517A9" w:rsidRDefault="00C021CB">
      <w:pPr>
        <w:pStyle w:val="Textoindependiente"/>
        <w:tabs>
          <w:tab w:val="left" w:leader="dot" w:pos="6049"/>
        </w:tabs>
        <w:spacing w:before="274"/>
        <w:rPr>
          <w:lang w:val="en-US"/>
        </w:rPr>
      </w:pPr>
      <w:r w:rsidRPr="000517A9">
        <w:rPr>
          <w:lang w:val="en-US"/>
        </w:rPr>
        <w:t>Don/Doña</w:t>
      </w:r>
      <w:r w:rsidRPr="000517A9">
        <w:rPr>
          <w:rFonts w:ascii="Times New Roman" w:hAnsi="Times New Roman"/>
          <w:lang w:val="en-US"/>
        </w:rPr>
        <w:tab/>
      </w:r>
      <w:r w:rsidRPr="000517A9">
        <w:rPr>
          <w:lang w:val="en-US"/>
        </w:rPr>
        <w:t>,</w:t>
      </w:r>
    </w:p>
    <w:p w14:paraId="0D84A205" w14:textId="77777777" w:rsidR="005D061D" w:rsidRPr="00C021CB" w:rsidRDefault="00C021CB">
      <w:pPr>
        <w:pStyle w:val="Textoindependiente"/>
        <w:tabs>
          <w:tab w:val="left" w:leader="dot" w:pos="6475"/>
        </w:tabs>
        <w:rPr>
          <w:lang w:val="en-US"/>
        </w:rPr>
      </w:pPr>
      <w:r w:rsidRPr="00C021CB">
        <w:rPr>
          <w:lang w:val="en-US"/>
        </w:rPr>
        <w:t>DNI</w:t>
      </w:r>
      <w:r w:rsidRPr="00C021CB">
        <w:rPr>
          <w:rFonts w:ascii="Times New Roman"/>
          <w:lang w:val="en-US"/>
        </w:rPr>
        <w:tab/>
      </w:r>
      <w:r w:rsidRPr="00C021CB">
        <w:rPr>
          <w:lang w:val="en-US"/>
        </w:rPr>
        <w:t>,</w:t>
      </w:r>
    </w:p>
    <w:p w14:paraId="34485383" w14:textId="77777777" w:rsidR="005D061D" w:rsidRDefault="00C021CB">
      <w:pPr>
        <w:pStyle w:val="Textoindependiente"/>
      </w:pPr>
      <w:r>
        <w:t>como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</w:p>
    <w:p w14:paraId="55B89D2F" w14:textId="77777777" w:rsidR="005D061D" w:rsidRDefault="00C021CB">
      <w:pPr>
        <w:pStyle w:val="Textoindependiente"/>
      </w:pPr>
      <w:r>
        <w:t>……………………………………………………………………………………………</w:t>
      </w:r>
    </w:p>
    <w:p w14:paraId="2672F0B0" w14:textId="77777777" w:rsidR="005D061D" w:rsidRDefault="00C021CB">
      <w:pPr>
        <w:pStyle w:val="Textoindependiente"/>
        <w:tabs>
          <w:tab w:val="left" w:pos="1780"/>
          <w:tab w:val="left" w:pos="2439"/>
          <w:tab w:val="left" w:pos="3101"/>
          <w:tab w:val="left" w:pos="5911"/>
          <w:tab w:val="left" w:pos="6304"/>
          <w:tab w:val="left" w:pos="7514"/>
          <w:tab w:val="left" w:pos="8341"/>
        </w:tabs>
      </w:pPr>
      <w:r>
        <w:t>……………..,</w:t>
      </w:r>
      <w:r>
        <w:tab/>
        <w:t>con</w:t>
      </w:r>
      <w:r>
        <w:tab/>
        <w:t>NIF</w:t>
      </w:r>
      <w:r>
        <w:tab/>
        <w:t>………………………….,</w:t>
      </w:r>
      <w:r>
        <w:tab/>
        <w:t>y</w:t>
      </w:r>
      <w:r>
        <w:tab/>
        <w:t>domicilio</w:t>
      </w:r>
      <w:r>
        <w:tab/>
        <w:t>fiscal</w:t>
      </w:r>
      <w:r>
        <w:tab/>
        <w:t>en</w:t>
      </w:r>
    </w:p>
    <w:p w14:paraId="228856E6" w14:textId="77777777" w:rsidR="005D061D" w:rsidRDefault="00C021CB">
      <w:pPr>
        <w:pStyle w:val="Textoindependiente"/>
      </w:pPr>
      <w:r>
        <w:t>………………………………………</w:t>
      </w:r>
    </w:p>
    <w:p w14:paraId="637A698E" w14:textId="77777777" w:rsidR="005D061D" w:rsidRDefault="00C021CB">
      <w:pPr>
        <w:pStyle w:val="Textoindependiente"/>
      </w:pPr>
      <w:r>
        <w:t>………………………………………………………………………….…………………</w:t>
      </w:r>
    </w:p>
    <w:p w14:paraId="6A3048AC" w14:textId="77777777" w:rsidR="005D061D" w:rsidRDefault="00C021CB">
      <w:pPr>
        <w:pStyle w:val="Textoindependiente"/>
      </w:pPr>
      <w:r>
        <w:t>………………………………………</w:t>
      </w:r>
    </w:p>
    <w:p w14:paraId="5960D163" w14:textId="77777777" w:rsidR="005D061D" w:rsidRDefault="00C021CB">
      <w:pPr>
        <w:pStyle w:val="Textoindependiente"/>
      </w:pPr>
      <w:r>
        <w:t>………..…………………………………………………………………………………</w:t>
      </w:r>
    </w:p>
    <w:p w14:paraId="724DBA2C" w14:textId="77777777" w:rsidR="005D061D" w:rsidRDefault="00C021CB">
      <w:pPr>
        <w:pStyle w:val="Textoindependiente"/>
      </w:pPr>
      <w:r>
        <w:t>……………………</w:t>
      </w:r>
    </w:p>
    <w:p w14:paraId="2AEC29D0" w14:textId="77777777" w:rsidR="005D061D" w:rsidRDefault="00C021CB">
      <w:pPr>
        <w:pStyle w:val="Textoindependiente"/>
        <w:tabs>
          <w:tab w:val="left" w:leader="dot" w:pos="8100"/>
        </w:tabs>
        <w:spacing w:before="1"/>
      </w:pPr>
      <w:r>
        <w:t>…………….</w:t>
      </w:r>
      <w:r>
        <w:rPr>
          <w:spacing w:val="107"/>
        </w:rPr>
        <w:t xml:space="preserve"> </w:t>
      </w:r>
      <w:r>
        <w:t>en</w:t>
      </w:r>
      <w:r>
        <w:rPr>
          <w:spacing w:val="110"/>
        </w:rPr>
        <w:t xml:space="preserve"> </w:t>
      </w:r>
      <w:r>
        <w:t>calidad</w:t>
      </w:r>
      <w:r>
        <w:rPr>
          <w:spacing w:val="10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color w:val="808080"/>
        </w:rPr>
        <w:t>(elija</w:t>
      </w:r>
    </w:p>
    <w:p w14:paraId="410CE5E8" w14:textId="77777777" w:rsidR="005D061D" w:rsidRDefault="00C021CB">
      <w:pPr>
        <w:pStyle w:val="Textoindependiente"/>
        <w:ind w:right="114"/>
        <w:jc w:val="both"/>
      </w:pPr>
      <w:r>
        <w:rPr>
          <w:color w:val="808080"/>
        </w:rPr>
        <w:t xml:space="preserve">entre: </w:t>
      </w:r>
      <w:r>
        <w:rPr>
          <w:color w:val="808080"/>
        </w:rPr>
        <w:t>beneficiario de ayudas financiadas con recursos provenientes del PRTR;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contratista; subcontratista) </w:t>
      </w:r>
      <w:r>
        <w:t>en el desarrollo de actuaciones necesarias para la</w:t>
      </w:r>
      <w:r>
        <w:rPr>
          <w:spacing w:val="1"/>
        </w:rPr>
        <w:t xml:space="preserve"> </w:t>
      </w:r>
      <w:r>
        <w:t>consecución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definidos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C9.I1,</w:t>
      </w:r>
      <w:r>
        <w:rPr>
          <w:spacing w:val="-8"/>
        </w:rPr>
        <w:t xml:space="preserve"> </w:t>
      </w:r>
      <w:r>
        <w:t>declara</w:t>
      </w:r>
      <w:r>
        <w:rPr>
          <w:spacing w:val="-11"/>
        </w:rPr>
        <w:t xml:space="preserve"> </w:t>
      </w:r>
      <w:r>
        <w:t>conocer</w:t>
      </w:r>
      <w:r>
        <w:rPr>
          <w:spacing w:val="-64"/>
        </w:rPr>
        <w:t xml:space="preserve"> </w:t>
      </w:r>
      <w:r>
        <w:t>la normativa que es de apl</w:t>
      </w:r>
      <w:r>
        <w:t>icación, en particular las siguientes apartados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2021/241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Consejo, de 12 de febrero de 2021, por el que se establece el Mecanismo de</w:t>
      </w:r>
      <w:r>
        <w:rPr>
          <w:spacing w:val="1"/>
        </w:rPr>
        <w:t xml:space="preserve"> </w:t>
      </w:r>
      <w:r>
        <w:t>Recuperación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Resiliencia:</w:t>
      </w:r>
    </w:p>
    <w:p w14:paraId="26DCCADA" w14:textId="77777777" w:rsidR="005D061D" w:rsidRDefault="005D061D">
      <w:pPr>
        <w:pStyle w:val="Textoindependiente"/>
        <w:spacing w:before="5"/>
        <w:ind w:left="0"/>
        <w:rPr>
          <w:sz w:val="34"/>
        </w:rPr>
      </w:pPr>
    </w:p>
    <w:p w14:paraId="7F5ED14D" w14:textId="77777777" w:rsidR="005D061D" w:rsidRDefault="00C021CB">
      <w:pPr>
        <w:pStyle w:val="Prrafodelista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La letra d) del apartado 2: «</w:t>
      </w:r>
      <w:r>
        <w:rPr>
          <w:sz w:val="24"/>
        </w:rPr>
        <w:t>recabar, a efectos de auditoría y control del</w:t>
      </w:r>
      <w:r>
        <w:rPr>
          <w:spacing w:val="1"/>
          <w:sz w:val="24"/>
        </w:rPr>
        <w:t xml:space="preserve"> </w:t>
      </w:r>
      <w:r>
        <w:rPr>
          <w:sz w:val="24"/>
        </w:rPr>
        <w:t>uso de fondos en relación con medidas destinadas a la ejecución de</w:t>
      </w:r>
      <w:r>
        <w:rPr>
          <w:spacing w:val="1"/>
          <w:sz w:val="24"/>
        </w:rPr>
        <w:t xml:space="preserve"> </w:t>
      </w:r>
      <w:r>
        <w:rPr>
          <w:sz w:val="24"/>
        </w:rPr>
        <w:t>reformas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inversión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 recuperación y</w:t>
      </w:r>
      <w:r>
        <w:rPr>
          <w:spacing w:val="-65"/>
          <w:sz w:val="24"/>
        </w:rPr>
        <w:t xml:space="preserve"> </w:t>
      </w:r>
      <w:r>
        <w:rPr>
          <w:sz w:val="24"/>
        </w:rPr>
        <w:t>resiliencia,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permita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9"/>
          <w:sz w:val="24"/>
        </w:rPr>
        <w:t xml:space="preserve"> </w:t>
      </w:r>
      <w:r>
        <w:rPr>
          <w:sz w:val="24"/>
        </w:rPr>
        <w:t>búsquedas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base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única,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12"/>
          <w:sz w:val="24"/>
        </w:rPr>
        <w:t xml:space="preserve"> </w:t>
      </w:r>
      <w:r>
        <w:rPr>
          <w:sz w:val="24"/>
        </w:rPr>
        <w:t>armonizadas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datos</w:t>
      </w:r>
      <w:r>
        <w:rPr>
          <w:spacing w:val="-14"/>
          <w:sz w:val="24"/>
        </w:rPr>
        <w:t xml:space="preserve"> </w:t>
      </w:r>
      <w:r>
        <w:rPr>
          <w:sz w:val="24"/>
        </w:rPr>
        <w:t>siguientes:</w:t>
      </w:r>
    </w:p>
    <w:p w14:paraId="73907B71" w14:textId="77777777" w:rsidR="005D061D" w:rsidRDefault="00C021CB">
      <w:pPr>
        <w:pStyle w:val="Prrafodelista"/>
        <w:numPr>
          <w:ilvl w:val="1"/>
          <w:numId w:val="1"/>
        </w:numPr>
        <w:tabs>
          <w:tab w:val="left" w:pos="1168"/>
        </w:tabs>
        <w:ind w:right="0" w:hanging="460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nombre del</w:t>
      </w:r>
      <w:r>
        <w:rPr>
          <w:spacing w:val="-1"/>
          <w:sz w:val="24"/>
        </w:rPr>
        <w:t xml:space="preserve"> </w:t>
      </w:r>
      <w:r>
        <w:rPr>
          <w:sz w:val="24"/>
        </w:rPr>
        <w:t>perceptor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fondos;</w:t>
      </w:r>
    </w:p>
    <w:p w14:paraId="08DCA3A7" w14:textId="77777777" w:rsidR="005D061D" w:rsidRDefault="00C021CB">
      <w:pPr>
        <w:pStyle w:val="Prrafodelista"/>
        <w:numPr>
          <w:ilvl w:val="1"/>
          <w:numId w:val="1"/>
        </w:numPr>
        <w:tabs>
          <w:tab w:val="left" w:pos="1168"/>
        </w:tabs>
        <w:ind w:hanging="504"/>
        <w:jc w:val="both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nombre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subcontratista,</w:t>
      </w:r>
      <w:r>
        <w:rPr>
          <w:spacing w:val="-11"/>
          <w:sz w:val="24"/>
        </w:rPr>
        <w:t xml:space="preserve"> </w:t>
      </w: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perceptor</w:t>
      </w:r>
      <w:r>
        <w:rPr>
          <w:spacing w:val="-12"/>
          <w:sz w:val="24"/>
        </w:rPr>
        <w:t xml:space="preserve"> </w:t>
      </w:r>
      <w:r>
        <w:rPr>
          <w:sz w:val="24"/>
        </w:rPr>
        <w:t>final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fondos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adjudicador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Derecho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nacional 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contratación</w:t>
      </w:r>
      <w:r>
        <w:rPr>
          <w:spacing w:val="2"/>
          <w:sz w:val="24"/>
        </w:rPr>
        <w:t xml:space="preserve"> </w:t>
      </w:r>
      <w:r>
        <w:rPr>
          <w:sz w:val="24"/>
        </w:rPr>
        <w:t>pública;</w:t>
      </w:r>
    </w:p>
    <w:p w14:paraId="137EEC0D" w14:textId="77777777" w:rsidR="005D061D" w:rsidRDefault="00C021CB">
      <w:pPr>
        <w:pStyle w:val="Prrafodelista"/>
        <w:numPr>
          <w:ilvl w:val="1"/>
          <w:numId w:val="1"/>
        </w:numPr>
        <w:tabs>
          <w:tab w:val="left" w:pos="1168"/>
        </w:tabs>
        <w:ind w:right="117" w:hanging="550"/>
        <w:jc w:val="both"/>
        <w:rPr>
          <w:sz w:val="24"/>
        </w:rPr>
      </w:pPr>
      <w:r>
        <w:rPr>
          <w:sz w:val="24"/>
        </w:rPr>
        <w:t>los nombres, apellidos y fechas de nacimiento de los titulares reales</w:t>
      </w:r>
      <w:r>
        <w:rPr>
          <w:spacing w:val="1"/>
          <w:sz w:val="24"/>
        </w:rPr>
        <w:t xml:space="preserve"> </w:t>
      </w:r>
      <w:r>
        <w:rPr>
          <w:sz w:val="24"/>
        </w:rPr>
        <w:t>del perceptor de los fondos o del contratista, según se define en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artículo 3, punto 6, de la </w:t>
      </w:r>
      <w:r>
        <w:rPr>
          <w:sz w:val="24"/>
        </w:rPr>
        <w:t>Directiva (UE) 2015/849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(26);</w:t>
      </w:r>
    </w:p>
    <w:p w14:paraId="073272E9" w14:textId="77777777" w:rsidR="005D061D" w:rsidRDefault="00C021CB">
      <w:pPr>
        <w:pStyle w:val="Prrafodelista"/>
        <w:numPr>
          <w:ilvl w:val="1"/>
          <w:numId w:val="1"/>
        </w:numPr>
        <w:tabs>
          <w:tab w:val="left" w:pos="1167"/>
          <w:tab w:val="left" w:pos="1168"/>
        </w:tabs>
        <w:ind w:right="118" w:hanging="560"/>
        <w:jc w:val="left"/>
        <w:rPr>
          <w:sz w:val="24"/>
        </w:rPr>
      </w:pPr>
      <w:r>
        <w:rPr>
          <w:sz w:val="24"/>
        </w:rPr>
        <w:t>una lista de medidas para la ejecución de reformas y proyectos de</w:t>
      </w:r>
      <w:r>
        <w:rPr>
          <w:spacing w:val="1"/>
          <w:sz w:val="24"/>
        </w:rPr>
        <w:t xml:space="preserve"> </w:t>
      </w:r>
      <w:r>
        <w:rPr>
          <w:sz w:val="24"/>
        </w:rPr>
        <w:t>inversión en el marco del plan de recuperación y resiliencia, junto con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importe</w:t>
      </w:r>
      <w:r>
        <w:rPr>
          <w:spacing w:val="35"/>
          <w:sz w:val="24"/>
        </w:rPr>
        <w:t xml:space="preserve"> </w:t>
      </w:r>
      <w:r>
        <w:rPr>
          <w:sz w:val="24"/>
        </w:rPr>
        <w:t>total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35"/>
          <w:sz w:val="24"/>
        </w:rPr>
        <w:t xml:space="preserve"> </w:t>
      </w:r>
      <w:r>
        <w:rPr>
          <w:sz w:val="24"/>
        </w:rPr>
        <w:t>pública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dich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medidas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indique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cuantía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los</w:t>
      </w:r>
      <w:r>
        <w:rPr>
          <w:spacing w:val="62"/>
          <w:sz w:val="24"/>
        </w:rPr>
        <w:t xml:space="preserve"> </w:t>
      </w:r>
      <w:r>
        <w:rPr>
          <w:sz w:val="24"/>
        </w:rPr>
        <w:t>fondos</w:t>
      </w:r>
      <w:r>
        <w:rPr>
          <w:spacing w:val="59"/>
          <w:sz w:val="24"/>
        </w:rPr>
        <w:t xml:space="preserve"> </w:t>
      </w:r>
      <w:r>
        <w:rPr>
          <w:sz w:val="24"/>
        </w:rPr>
        <w:t>desembolsados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marco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Mecanismo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fondos de</w:t>
      </w:r>
      <w:r>
        <w:rPr>
          <w:spacing w:val="2"/>
          <w:sz w:val="24"/>
        </w:rPr>
        <w:t xml:space="preserve"> </w:t>
      </w:r>
      <w:r>
        <w:rPr>
          <w:sz w:val="24"/>
        </w:rPr>
        <w:t>la Unión».</w:t>
      </w:r>
    </w:p>
    <w:p w14:paraId="356F135C" w14:textId="77777777" w:rsidR="005D061D" w:rsidRDefault="005D061D">
      <w:pPr>
        <w:pStyle w:val="Textoindependiente"/>
        <w:ind w:left="0"/>
      </w:pPr>
    </w:p>
    <w:p w14:paraId="01468B8A" w14:textId="77777777" w:rsidR="005D061D" w:rsidRDefault="00C021CB">
      <w:pPr>
        <w:pStyle w:val="Prrafodelista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Apartado 3: «Los datos personales mencionados en el apartado 2, letra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d), del presente artículo solo serán tratados por los </w:t>
      </w:r>
      <w:r>
        <w:rPr>
          <w:sz w:val="24"/>
        </w:rPr>
        <w:t>Estados miembros y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Comisión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efectos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duración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2"/>
          <w:sz w:val="24"/>
        </w:rPr>
        <w:t xml:space="preserve"> </w:t>
      </w:r>
      <w:r>
        <w:rPr>
          <w:sz w:val="24"/>
        </w:rPr>
        <w:t>auditoría</w:t>
      </w:r>
    </w:p>
    <w:p w14:paraId="0A63DBD1" w14:textId="77777777" w:rsidR="005D061D" w:rsidRDefault="005D061D">
      <w:pPr>
        <w:jc w:val="both"/>
        <w:rPr>
          <w:sz w:val="24"/>
        </w:rPr>
        <w:sectPr w:rsidR="005D061D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33F49A9F" w14:textId="77777777" w:rsidR="005D061D" w:rsidRDefault="00C021CB">
      <w:pPr>
        <w:pStyle w:val="Textoindependiente"/>
        <w:spacing w:before="75"/>
        <w:ind w:left="821" w:right="115"/>
        <w:jc w:val="both"/>
      </w:pPr>
      <w:r>
        <w:lastRenderedPageBreak/>
        <w:t>de la aprobación de la gestión presupuestaria y de los procedimientos de</w:t>
      </w:r>
      <w:r>
        <w:rPr>
          <w:spacing w:val="-64"/>
        </w:rPr>
        <w:t xml:space="preserve"> </w:t>
      </w:r>
      <w:r>
        <w:t>control relacionados con la utilización de los fondos relacionados con la</w:t>
      </w:r>
      <w:r>
        <w:rPr>
          <w:spacing w:val="1"/>
        </w:rPr>
        <w:t xml:space="preserve"> </w:t>
      </w:r>
      <w:r>
        <w:t>a</w:t>
      </w:r>
      <w:r>
        <w:t>plicación de los acuerdos a que se refieren los artículos 15, apartado 2,</w:t>
      </w:r>
      <w:r>
        <w:rPr>
          <w:spacing w:val="1"/>
        </w:rPr>
        <w:t xml:space="preserve"> </w:t>
      </w:r>
      <w:r>
        <w:t>y 23, apartado 1. En el marco del procedimiento de aprobación de la</w:t>
      </w:r>
      <w:r>
        <w:rPr>
          <w:spacing w:val="1"/>
        </w:rPr>
        <w:t xml:space="preserve"> </w:t>
      </w:r>
      <w:r>
        <w:t>gestión de la Comisión, de conformidad con el artículo 319 del TFUE, el</w:t>
      </w:r>
      <w:r>
        <w:rPr>
          <w:spacing w:val="1"/>
        </w:rPr>
        <w:t xml:space="preserve"> </w:t>
      </w:r>
      <w:r>
        <w:t xml:space="preserve">Mecanismo estará sujeto a la presentación </w:t>
      </w:r>
      <w:r>
        <w:t>de informes en el marco de la</w:t>
      </w:r>
      <w:r>
        <w:rPr>
          <w:spacing w:val="-64"/>
        </w:rPr>
        <w:t xml:space="preserve"> </w:t>
      </w:r>
      <w:r>
        <w:rPr>
          <w:spacing w:val="-1"/>
        </w:rPr>
        <w:t>información</w:t>
      </w:r>
      <w:r>
        <w:rPr>
          <w:spacing w:val="-17"/>
        </w:rPr>
        <w:t xml:space="preserve"> </w:t>
      </w:r>
      <w:r>
        <w:rPr>
          <w:spacing w:val="-1"/>
        </w:rPr>
        <w:t>financiera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rendición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cuentas</w:t>
      </w:r>
      <w:r>
        <w:rPr>
          <w:spacing w:val="-13"/>
        </w:rPr>
        <w:t xml:space="preserve"> </w:t>
      </w:r>
      <w:r>
        <w:t>integrada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refiere</w:t>
      </w:r>
      <w:r>
        <w:rPr>
          <w:spacing w:val="-64"/>
        </w:rPr>
        <w:t xml:space="preserve"> </w:t>
      </w:r>
      <w:r>
        <w:t>el artículo 247 del Reglamento Financiero y, en particular, por separado,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informe</w:t>
      </w:r>
      <w:r>
        <w:rPr>
          <w:spacing w:val="-2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 y</w:t>
      </w:r>
      <w:r>
        <w:rPr>
          <w:spacing w:val="-1"/>
        </w:rPr>
        <w:t xml:space="preserve"> </w:t>
      </w:r>
      <w:r>
        <w:t>rendimiento».</w:t>
      </w:r>
    </w:p>
    <w:p w14:paraId="49DCA5DB" w14:textId="77777777" w:rsidR="005D061D" w:rsidRDefault="005D061D">
      <w:pPr>
        <w:pStyle w:val="Textoindependiente"/>
        <w:ind w:left="0"/>
      </w:pPr>
    </w:p>
    <w:p w14:paraId="30D3ADD2" w14:textId="77777777" w:rsidR="005D061D" w:rsidRDefault="00C021CB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Conforme al marco </w:t>
      </w:r>
      <w:r>
        <w:rPr>
          <w:sz w:val="24"/>
        </w:rPr>
        <w:t>jurídico expuesto, manifiesta acceder a la cesión y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de los datos con los fines expresamente relacionados en 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"/>
          <w:sz w:val="24"/>
        </w:rPr>
        <w:t xml:space="preserve"> </w:t>
      </w:r>
      <w:r>
        <w:rPr>
          <w:sz w:val="24"/>
        </w:rPr>
        <w:t>citados.</w:t>
      </w:r>
    </w:p>
    <w:p w14:paraId="43C0189F" w14:textId="77777777" w:rsidR="005D061D" w:rsidRDefault="005D061D">
      <w:pPr>
        <w:pStyle w:val="Textoindependiente"/>
        <w:ind w:left="0"/>
        <w:rPr>
          <w:sz w:val="26"/>
        </w:rPr>
      </w:pPr>
    </w:p>
    <w:p w14:paraId="3B7D629B" w14:textId="77777777" w:rsidR="005D061D" w:rsidRDefault="005D061D">
      <w:pPr>
        <w:pStyle w:val="Textoindependiente"/>
        <w:ind w:left="0"/>
        <w:rPr>
          <w:sz w:val="22"/>
        </w:rPr>
      </w:pPr>
    </w:p>
    <w:p w14:paraId="543C9BCA" w14:textId="77777777" w:rsidR="005D061D" w:rsidRDefault="00C021CB">
      <w:pPr>
        <w:pStyle w:val="Ttulo1"/>
        <w:tabs>
          <w:tab w:val="left" w:leader="dot" w:pos="6491"/>
        </w:tabs>
        <w:ind w:left="1517"/>
      </w:pPr>
      <w:r>
        <w:t>……………………………...,</w:t>
      </w:r>
      <w:r>
        <w:rPr>
          <w:spacing w:val="1"/>
        </w:rPr>
        <w:t xml:space="preserve"> </w:t>
      </w:r>
      <w:r>
        <w:t>XX de</w:t>
      </w:r>
      <w:r>
        <w:rPr>
          <w:rFonts w:ascii="Times New Roman" w:hAnsi="Times New Roman"/>
        </w:rPr>
        <w:tab/>
      </w:r>
      <w:r>
        <w:t>de</w:t>
      </w:r>
      <w:r>
        <w:rPr>
          <w:spacing w:val="1"/>
        </w:rPr>
        <w:t xml:space="preserve"> </w:t>
      </w:r>
      <w:r>
        <w:t>202X</w:t>
      </w:r>
    </w:p>
    <w:p w14:paraId="3431792A" w14:textId="77777777" w:rsidR="005D061D" w:rsidRDefault="005D061D">
      <w:pPr>
        <w:pStyle w:val="Textoindependiente"/>
        <w:ind w:left="0"/>
        <w:rPr>
          <w:rFonts w:ascii="Arial"/>
          <w:b/>
          <w:sz w:val="26"/>
        </w:rPr>
      </w:pPr>
    </w:p>
    <w:p w14:paraId="6901FF7F" w14:textId="77777777" w:rsidR="005D061D" w:rsidRDefault="005D061D">
      <w:pPr>
        <w:pStyle w:val="Textoindependiente"/>
        <w:ind w:left="0"/>
        <w:rPr>
          <w:rFonts w:ascii="Arial"/>
          <w:b/>
          <w:sz w:val="22"/>
        </w:rPr>
      </w:pPr>
    </w:p>
    <w:p w14:paraId="0CB390AB" w14:textId="77777777" w:rsidR="005D061D" w:rsidRDefault="00C021CB">
      <w:pPr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Fdo. …………………………………………….</w:t>
      </w:r>
    </w:p>
    <w:p w14:paraId="5FC1A851" w14:textId="77777777" w:rsidR="005D061D" w:rsidRDefault="005D061D">
      <w:pPr>
        <w:pStyle w:val="Textoindependiente"/>
        <w:ind w:left="0"/>
        <w:rPr>
          <w:rFonts w:ascii="Arial"/>
          <w:b/>
        </w:rPr>
      </w:pPr>
    </w:p>
    <w:p w14:paraId="23630E1C" w14:textId="77777777" w:rsidR="005D061D" w:rsidRDefault="00C021CB">
      <w:pPr>
        <w:pStyle w:val="Ttulo1"/>
      </w:pPr>
      <w:r>
        <w:t>Cargo:</w:t>
      </w:r>
      <w:r>
        <w:rPr>
          <w:spacing w:val="-2"/>
        </w:rPr>
        <w:t xml:space="preserve"> </w:t>
      </w:r>
      <w:r>
        <w:t>…………………………………………</w:t>
      </w:r>
    </w:p>
    <w:sectPr w:rsidR="005D061D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5F9"/>
    <w:multiLevelType w:val="hybridMultilevel"/>
    <w:tmpl w:val="D026F0D4"/>
    <w:lvl w:ilvl="0" w:tplc="84C4F3FA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7D62B0EE">
      <w:start w:val="1"/>
      <w:numFmt w:val="lowerRoman"/>
      <w:lvlText w:val="%2."/>
      <w:lvlJc w:val="left"/>
      <w:pPr>
        <w:ind w:left="1167" w:hanging="459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4E767B86">
      <w:numFmt w:val="bullet"/>
      <w:lvlText w:val="•"/>
      <w:lvlJc w:val="left"/>
      <w:pPr>
        <w:ind w:left="2000" w:hanging="459"/>
      </w:pPr>
      <w:rPr>
        <w:rFonts w:hint="default"/>
        <w:lang w:val="es-ES" w:eastAsia="en-US" w:bidi="ar-SA"/>
      </w:rPr>
    </w:lvl>
    <w:lvl w:ilvl="3" w:tplc="62F601AA">
      <w:numFmt w:val="bullet"/>
      <w:lvlText w:val="•"/>
      <w:lvlJc w:val="left"/>
      <w:pPr>
        <w:ind w:left="2841" w:hanging="459"/>
      </w:pPr>
      <w:rPr>
        <w:rFonts w:hint="default"/>
        <w:lang w:val="es-ES" w:eastAsia="en-US" w:bidi="ar-SA"/>
      </w:rPr>
    </w:lvl>
    <w:lvl w:ilvl="4" w:tplc="0E4E4B5C">
      <w:numFmt w:val="bullet"/>
      <w:lvlText w:val="•"/>
      <w:lvlJc w:val="left"/>
      <w:pPr>
        <w:ind w:left="3682" w:hanging="459"/>
      </w:pPr>
      <w:rPr>
        <w:rFonts w:hint="default"/>
        <w:lang w:val="es-ES" w:eastAsia="en-US" w:bidi="ar-SA"/>
      </w:rPr>
    </w:lvl>
    <w:lvl w:ilvl="5" w:tplc="70A4B52E">
      <w:numFmt w:val="bullet"/>
      <w:lvlText w:val="•"/>
      <w:lvlJc w:val="left"/>
      <w:pPr>
        <w:ind w:left="4522" w:hanging="459"/>
      </w:pPr>
      <w:rPr>
        <w:rFonts w:hint="default"/>
        <w:lang w:val="es-ES" w:eastAsia="en-US" w:bidi="ar-SA"/>
      </w:rPr>
    </w:lvl>
    <w:lvl w:ilvl="6" w:tplc="380447DA">
      <w:numFmt w:val="bullet"/>
      <w:lvlText w:val="•"/>
      <w:lvlJc w:val="left"/>
      <w:pPr>
        <w:ind w:left="5363" w:hanging="459"/>
      </w:pPr>
      <w:rPr>
        <w:rFonts w:hint="default"/>
        <w:lang w:val="es-ES" w:eastAsia="en-US" w:bidi="ar-SA"/>
      </w:rPr>
    </w:lvl>
    <w:lvl w:ilvl="7" w:tplc="D79ACE72">
      <w:numFmt w:val="bullet"/>
      <w:lvlText w:val="•"/>
      <w:lvlJc w:val="left"/>
      <w:pPr>
        <w:ind w:left="6204" w:hanging="459"/>
      </w:pPr>
      <w:rPr>
        <w:rFonts w:hint="default"/>
        <w:lang w:val="es-ES" w:eastAsia="en-US" w:bidi="ar-SA"/>
      </w:rPr>
    </w:lvl>
    <w:lvl w:ilvl="8" w:tplc="A1FE1578">
      <w:numFmt w:val="bullet"/>
      <w:lvlText w:val="•"/>
      <w:lvlJc w:val="left"/>
      <w:pPr>
        <w:ind w:left="7044" w:hanging="459"/>
      </w:pPr>
      <w:rPr>
        <w:rFonts w:hint="default"/>
        <w:lang w:val="es-ES" w:eastAsia="en-US" w:bidi="ar-SA"/>
      </w:rPr>
    </w:lvl>
  </w:abstractNum>
  <w:num w:numId="1" w16cid:durableId="10803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1D"/>
    <w:rsid w:val="000517A9"/>
    <w:rsid w:val="005D061D"/>
    <w:rsid w:val="006908B1"/>
    <w:rsid w:val="00C021CB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25D"/>
  <w15:docId w15:val="{CED43743-BEAD-47B2-9144-0EE3531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7"/>
      <w:ind w:left="178" w:right="193" w:hanging="2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67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2764</Characters>
  <Application>Microsoft Office Word</Application>
  <DocSecurity>0</DocSecurity>
  <Lines>23</Lines>
  <Paragraphs>6</Paragraphs>
  <ScaleCrop>false</ScaleCrop>
  <Company>IDAE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responsable cesión y tratamiento de datos</dc:title>
  <dc:creator>spd761</dc:creator>
  <cp:lastModifiedBy>Estibaliz Pascua Iturrate</cp:lastModifiedBy>
  <cp:revision>3</cp:revision>
  <dcterms:created xsi:type="dcterms:W3CDTF">2023-05-23T14:07:00Z</dcterms:created>
  <dcterms:modified xsi:type="dcterms:W3CDTF">2023-05-23T14:09:00Z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2023-01-19T00:00:00Z</vt:filetime>
  </property>
</Properties>
</file>