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B1" w:rsidRPr="003260EF" w:rsidRDefault="004A48B1" w:rsidP="0050620F">
      <w:pPr>
        <w:autoSpaceDE w:val="0"/>
        <w:autoSpaceDN w:val="0"/>
        <w:adjustRightInd w:val="0"/>
        <w:spacing w:after="0" w:line="240" w:lineRule="auto"/>
        <w:ind w:left="-284"/>
        <w:jc w:val="both"/>
        <w:rPr>
          <w:rFonts w:eastAsia="Times New Roman" w:cs="Arial"/>
          <w:b/>
          <w:bCs/>
          <w:sz w:val="24"/>
          <w:szCs w:val="24"/>
          <w:lang w:eastAsia="es-ES"/>
        </w:rPr>
      </w:pPr>
      <w:r>
        <w:rPr>
          <w:rFonts w:eastAsia="Times New Roman" w:cs="Arial"/>
          <w:b/>
          <w:bCs/>
          <w:sz w:val="24"/>
          <w:szCs w:val="24"/>
          <w:lang w:eastAsia="es-ES"/>
        </w:rPr>
        <w:t xml:space="preserve">PROGRAMA DE AYUDAS </w:t>
      </w:r>
      <w:r w:rsidR="003260EF" w:rsidRPr="003260EF">
        <w:rPr>
          <w:rFonts w:eastAsia="Times New Roman" w:cs="Arial"/>
          <w:b/>
          <w:bCs/>
          <w:sz w:val="24"/>
          <w:szCs w:val="24"/>
          <w:lang w:eastAsia="es-ES"/>
        </w:rPr>
        <w:t>PARA LA RENOVACIÓN ENERGÉTICA DE</w:t>
      </w:r>
      <w:r w:rsidR="003260EF">
        <w:rPr>
          <w:rFonts w:eastAsia="Times New Roman" w:cs="Arial"/>
          <w:b/>
          <w:bCs/>
          <w:sz w:val="24"/>
          <w:szCs w:val="24"/>
          <w:lang w:eastAsia="es-ES"/>
        </w:rPr>
        <w:t xml:space="preserve"> </w:t>
      </w:r>
      <w:r w:rsidR="003260EF" w:rsidRPr="003260EF">
        <w:rPr>
          <w:rFonts w:eastAsia="Times New Roman" w:cs="Arial"/>
          <w:b/>
          <w:bCs/>
          <w:sz w:val="24"/>
          <w:szCs w:val="24"/>
          <w:lang w:eastAsia="es-ES"/>
        </w:rPr>
        <w:t>EDIFICIOS E INFRAESTRUCTURAS EXISTENTES DE LA ADMINISTRACIÓN GENERAL DEL ESTADO</w:t>
      </w:r>
      <w:r>
        <w:rPr>
          <w:rFonts w:eastAsia="Times New Roman" w:cs="Arial"/>
          <w:b/>
          <w:bCs/>
          <w:sz w:val="24"/>
          <w:szCs w:val="24"/>
          <w:lang w:eastAsia="es-ES"/>
        </w:rPr>
        <w:t xml:space="preserve"> QUE FAVOREZCAN EL PASO A UNA ECONOMÍA BAJA EN CARBONO EN EL MARCO DEL PROGRAMA OPERATIVO FEDER DE CRECIMIENTO SOSTENIBLE 2014-2020</w:t>
      </w:r>
    </w:p>
    <w:p w:rsidR="004A48B1" w:rsidRDefault="004A48B1" w:rsidP="007B33CE">
      <w:pPr>
        <w:jc w:val="both"/>
      </w:pPr>
    </w:p>
    <w:p w:rsidR="00DB6049" w:rsidRPr="000C2DBA" w:rsidRDefault="00DB6049" w:rsidP="008C14A7">
      <w:pPr>
        <w:spacing w:line="264" w:lineRule="auto"/>
        <w:ind w:left="-284"/>
        <w:jc w:val="both"/>
        <w:rPr>
          <w:b/>
        </w:rPr>
      </w:pPr>
      <w:r w:rsidRPr="008C14A7">
        <w:rPr>
          <w:b/>
          <w:sz w:val="24"/>
        </w:rPr>
        <w:t xml:space="preserve">DOCUMENTO: </w:t>
      </w:r>
      <w:r w:rsidRPr="008C14A7">
        <w:rPr>
          <w:b/>
          <w:sz w:val="24"/>
          <w:u w:val="single"/>
        </w:rPr>
        <w:t>Lista comprobación de cumplimiento básico normativa de contratación pública</w:t>
      </w:r>
    </w:p>
    <w:p w:rsidR="007B33CE" w:rsidRDefault="00DB6049" w:rsidP="008C14A7">
      <w:pPr>
        <w:spacing w:line="264" w:lineRule="auto"/>
        <w:ind w:left="-284"/>
        <w:jc w:val="both"/>
      </w:pPr>
      <w:r w:rsidRPr="008C14A7">
        <w:rPr>
          <w:b/>
        </w:rPr>
        <w:t>C</w:t>
      </w:r>
      <w:r w:rsidR="00846902" w:rsidRPr="008C14A7">
        <w:rPr>
          <w:b/>
        </w:rPr>
        <w:t xml:space="preserve">on carácter informativo </w:t>
      </w:r>
      <w:r w:rsidRPr="008C14A7">
        <w:rPr>
          <w:b/>
        </w:rPr>
        <w:t xml:space="preserve">y para </w:t>
      </w:r>
      <w:r w:rsidR="000A39E5" w:rsidRPr="008C14A7">
        <w:rPr>
          <w:b/>
        </w:rPr>
        <w:t xml:space="preserve">orientar </w:t>
      </w:r>
      <w:r w:rsidRPr="008C14A7">
        <w:rPr>
          <w:b/>
        </w:rPr>
        <w:t>el cumplimiento de la</w:t>
      </w:r>
      <w:r w:rsidR="00145749" w:rsidRPr="008C14A7">
        <w:rPr>
          <w:b/>
        </w:rPr>
        <w:t>s</w:t>
      </w:r>
      <w:r>
        <w:t xml:space="preserve"> </w:t>
      </w:r>
      <w:r w:rsidR="00145749" w:rsidRPr="00145749">
        <w:rPr>
          <w:b/>
          <w:i/>
        </w:rPr>
        <w:t>OBLIGACIONES DE LOS BENEFICIARIOS</w:t>
      </w:r>
      <w:r w:rsidR="0084305B">
        <w:rPr>
          <w:b/>
          <w:i/>
        </w:rPr>
        <w:t>,</w:t>
      </w:r>
      <w:r w:rsidRPr="00145749">
        <w:rPr>
          <w:b/>
          <w:i/>
        </w:rPr>
        <w:t xml:space="preserve"> </w:t>
      </w:r>
      <w:r>
        <w:t>(</w:t>
      </w:r>
      <w:r w:rsidR="00145749">
        <w:rPr>
          <w:i/>
        </w:rPr>
        <w:t xml:space="preserve">Base Séptima </w:t>
      </w:r>
      <w:r w:rsidRPr="000C2DBA">
        <w:rPr>
          <w:i/>
        </w:rPr>
        <w:t>apartad</w:t>
      </w:r>
      <w:r w:rsidR="00145749">
        <w:rPr>
          <w:i/>
        </w:rPr>
        <w:t>o</w:t>
      </w:r>
      <w:r w:rsidRPr="000C2DBA">
        <w:rPr>
          <w:i/>
        </w:rPr>
        <w:t xml:space="preserve"> b</w:t>
      </w:r>
      <w:r w:rsidR="00145749">
        <w:rPr>
          <w:i/>
        </w:rPr>
        <w:t>,</w:t>
      </w:r>
      <w:r w:rsidRPr="000C2DBA">
        <w:rPr>
          <w:i/>
        </w:rPr>
        <w:t xml:space="preserve"> de las bases de la convocatoria</w:t>
      </w:r>
      <w:r>
        <w:t>)</w:t>
      </w:r>
      <w:r w:rsidR="0084305B">
        <w:t>,</w:t>
      </w:r>
      <w:r>
        <w:t xml:space="preserve"> </w:t>
      </w:r>
      <w:r w:rsidR="00846902">
        <w:t xml:space="preserve">de todas las entidades beneficiarias del programa de ayudas, </w:t>
      </w:r>
      <w:r w:rsidR="000A39E5" w:rsidRPr="008C14A7">
        <w:rPr>
          <w:b/>
        </w:rPr>
        <w:t xml:space="preserve">se facilita </w:t>
      </w:r>
      <w:r w:rsidRPr="008C14A7">
        <w:rPr>
          <w:b/>
        </w:rPr>
        <w:t>una</w:t>
      </w:r>
      <w:r w:rsidR="00846902" w:rsidRPr="008C14A7">
        <w:rPr>
          <w:b/>
        </w:rPr>
        <w:t xml:space="preserve"> lista de </w:t>
      </w:r>
      <w:r w:rsidR="000474F5" w:rsidRPr="008C14A7">
        <w:rPr>
          <w:b/>
        </w:rPr>
        <w:t>requisitos</w:t>
      </w:r>
      <w:r w:rsidR="000474F5">
        <w:t xml:space="preserve"> de </w:t>
      </w:r>
      <w:r>
        <w:t>cumplimiento básico</w:t>
      </w:r>
      <w:r w:rsidR="0012277E">
        <w:t xml:space="preserve"> </w:t>
      </w:r>
      <w:r>
        <w:t>en materia de contratación pública</w:t>
      </w:r>
      <w:r w:rsidR="00497044">
        <w:t xml:space="preserve">, </w:t>
      </w:r>
      <w:r>
        <w:t xml:space="preserve"> </w:t>
      </w:r>
      <w:r w:rsidR="00497044" w:rsidRPr="008C14A7">
        <w:rPr>
          <w:i/>
          <w:iCs/>
        </w:rPr>
        <w:t>“</w:t>
      </w:r>
      <w:r w:rsidR="00497044" w:rsidRPr="008C14A7">
        <w:rPr>
          <w:bCs/>
          <w:i/>
          <w:iCs/>
        </w:rPr>
        <w:t xml:space="preserve">Circular 3/2017 </w:t>
      </w:r>
      <w:r w:rsidR="00497044" w:rsidRPr="008C14A7">
        <w:rPr>
          <w:i/>
          <w:iCs/>
          <w:color w:val="404040" w:themeColor="text1" w:themeTint="BF"/>
        </w:rPr>
        <w:t>instruyendo a los Organismos Intermedios sobre medidas de simplificación que facilitan la incorporación de los datos en la aplicación Fondos 2020 con objeto de agilizar la certificación de gastos en el año 2017”</w:t>
      </w:r>
      <w:r w:rsidR="00497044">
        <w:rPr>
          <w:i/>
          <w:iCs/>
        </w:rPr>
        <w:t xml:space="preserve">, </w:t>
      </w:r>
      <w:r w:rsidR="000474F5" w:rsidRPr="008C14A7">
        <w:rPr>
          <w:b/>
        </w:rPr>
        <w:t>que deberán ser considerados en</w:t>
      </w:r>
      <w:r w:rsidRPr="008C14A7">
        <w:rPr>
          <w:b/>
        </w:rPr>
        <w:t xml:space="preserve"> la preparación de pliegos, licitación, y contratación</w:t>
      </w:r>
      <w:r w:rsidR="0012277E" w:rsidRPr="008C14A7">
        <w:rPr>
          <w:b/>
        </w:rPr>
        <w:t xml:space="preserve"> de las actuaciones objeto de ayuda</w:t>
      </w:r>
      <w:r w:rsidR="00D17BE2">
        <w:t xml:space="preserve"> (o en su caso adendas o modificaciones)</w:t>
      </w:r>
      <w:r w:rsidR="0012277E">
        <w:t>.</w:t>
      </w:r>
      <w:r w:rsidR="00863B6F">
        <w:rPr>
          <w:rFonts w:cs="TrebuchetMS"/>
        </w:rPr>
        <w:t xml:space="preserve"> </w:t>
      </w:r>
      <w:r w:rsidR="006D03CC">
        <w:t xml:space="preserve"> </w:t>
      </w:r>
    </w:p>
    <w:p w:rsidR="00863B6F" w:rsidRDefault="00863B6F" w:rsidP="008C14A7">
      <w:pPr>
        <w:spacing w:line="264" w:lineRule="auto"/>
        <w:ind w:left="-284"/>
        <w:jc w:val="both"/>
      </w:pPr>
      <w:r>
        <w:t xml:space="preserve">En la fase de </w:t>
      </w:r>
      <w:r w:rsidRPr="0084305B">
        <w:rPr>
          <w:b/>
        </w:rPr>
        <w:t xml:space="preserve">JUSTIFICACIÓN </w:t>
      </w:r>
      <w:r w:rsidR="0084305B" w:rsidRPr="0084305B">
        <w:rPr>
          <w:b/>
        </w:rPr>
        <w:t>DE LA REALIZACIÓN DEL PROYECTO</w:t>
      </w:r>
      <w:r>
        <w:t xml:space="preserve"> (</w:t>
      </w:r>
      <w:r w:rsidR="0084305B">
        <w:rPr>
          <w:i/>
        </w:rPr>
        <w:t>Base Decimotercera</w:t>
      </w:r>
      <w:r w:rsidRPr="000C2DBA">
        <w:rPr>
          <w:i/>
        </w:rPr>
        <w:t xml:space="preserve"> de la convocatoria</w:t>
      </w:r>
      <w:r>
        <w:t xml:space="preserve">), </w:t>
      </w:r>
      <w:r w:rsidR="00506000">
        <w:t>una vez ejecutad</w:t>
      </w:r>
      <w:r w:rsidR="0084305B">
        <w:t>o</w:t>
      </w:r>
      <w:r w:rsidR="00506000">
        <w:t xml:space="preserve">, </w:t>
      </w:r>
      <w:r>
        <w:t xml:space="preserve">se efectuará por parte de la Unidad de Verificación </w:t>
      </w:r>
      <w:r w:rsidR="008C14A7">
        <w:t xml:space="preserve">de IDAE </w:t>
      </w:r>
      <w:r>
        <w:t xml:space="preserve">la comprobación del cumplimiento de todos los requisitos en materia de contratación pública para todos los contratos presentados (ver la </w:t>
      </w:r>
      <w:r w:rsidRPr="008C14A7">
        <w:rPr>
          <w:b/>
        </w:rPr>
        <w:t>“Guía para la Justificación de la Realización de las Actuaciones”</w:t>
      </w:r>
      <w:r>
        <w:t xml:space="preserve"> que está </w:t>
      </w:r>
      <w:r w:rsidRPr="008C14A7">
        <w:rPr>
          <w:b/>
        </w:rPr>
        <w:t xml:space="preserve">disponible en </w:t>
      </w:r>
      <w:r w:rsidR="00F644D6" w:rsidRPr="008C14A7">
        <w:rPr>
          <w:b/>
        </w:rPr>
        <w:t>sede electrónica</w:t>
      </w:r>
      <w:r w:rsidRPr="008C14A7">
        <w:rPr>
          <w:b/>
        </w:rPr>
        <w:t xml:space="preserve"> de IDAE</w:t>
      </w:r>
      <w:r>
        <w:t xml:space="preserve">). </w:t>
      </w:r>
    </w:p>
    <w:p w:rsidR="00497044" w:rsidRDefault="00497044" w:rsidP="008C14A7">
      <w:pPr>
        <w:spacing w:line="264" w:lineRule="auto"/>
        <w:ind w:left="-284"/>
        <w:jc w:val="both"/>
      </w:pPr>
      <w:r>
        <w:t>En todo caso, esta l</w:t>
      </w:r>
      <w:r w:rsidRPr="00506000">
        <w:t xml:space="preserve">ista de comprobación </w:t>
      </w:r>
      <w:r>
        <w:t>no tiene carácter exhaustivo y en ningún caso exime al beneficiario del cumplimiento de la normativa aplicable a la contratación de</w:t>
      </w:r>
      <w:r w:rsidRPr="006C7F39">
        <w:rPr>
          <w:rFonts w:cs="TrebuchetMS"/>
        </w:rPr>
        <w:t xml:space="preserve"> las actuaciones objeto de ayuda</w:t>
      </w:r>
      <w:r>
        <w:rPr>
          <w:rFonts w:cs="TrebuchetMS"/>
        </w:rPr>
        <w:t xml:space="preserve">, así como del cumplimiento de </w:t>
      </w:r>
      <w:r w:rsidRPr="006C7F39">
        <w:rPr>
          <w:rFonts w:cs="Arial"/>
        </w:rPr>
        <w:t>lo exigido por las bases reguladoras de la subvención, la convocatoria y la resolución de concesión</w:t>
      </w:r>
      <w:r>
        <w:rPr>
          <w:rFonts w:cs="Arial"/>
        </w:rPr>
        <w:t>.</w:t>
      </w:r>
    </w:p>
    <w:p w:rsidR="00820ADA" w:rsidRDefault="00820ADA" w:rsidP="008C14A7">
      <w:pPr>
        <w:spacing w:after="0" w:line="264" w:lineRule="auto"/>
        <w:ind w:left="-284"/>
        <w:jc w:val="both"/>
      </w:pPr>
      <w:bookmarkStart w:id="0" w:name="_Hlk22110084"/>
      <w:r w:rsidRPr="004A3D13">
        <w:t>El</w:t>
      </w:r>
      <w:r w:rsidRPr="008C14A7">
        <w:rPr>
          <w:b/>
        </w:rPr>
        <w:t xml:space="preserve"> NO cumplimiento de alguno de esos requisitos podría dar lugar a una corrección financiera sobre el coste subvencionable del contrato implicado</w:t>
      </w:r>
      <w:r w:rsidRPr="007B33CE">
        <w:t xml:space="preserve">, según se </w:t>
      </w:r>
      <w:r>
        <w:t>especifica</w:t>
      </w:r>
      <w:r w:rsidRPr="007B33CE">
        <w:t xml:space="preserve"> en el </w:t>
      </w:r>
      <w:r w:rsidRPr="008C14A7">
        <w:rPr>
          <w:b/>
        </w:rPr>
        <w:t xml:space="preserve">documento de la Comisión </w:t>
      </w:r>
      <w:r w:rsidRPr="007B33CE">
        <w:t>Europea: “</w:t>
      </w:r>
      <w:r w:rsidRPr="00402867">
        <w:t>COMMISSION DECISION</w:t>
      </w:r>
      <w:r w:rsidRPr="00E43066">
        <w:rPr>
          <w:i/>
        </w:rPr>
        <w:t xml:space="preserve"> </w:t>
      </w:r>
      <w:r>
        <w:rPr>
          <w:i/>
        </w:rPr>
        <w:t>of</w:t>
      </w:r>
      <w:r w:rsidRPr="00E43066">
        <w:rPr>
          <w:i/>
        </w:rPr>
        <w:t xml:space="preserve"> 1</w:t>
      </w:r>
      <w:r>
        <w:rPr>
          <w:i/>
        </w:rPr>
        <w:t>4</w:t>
      </w:r>
      <w:r w:rsidRPr="00E43066">
        <w:rPr>
          <w:i/>
        </w:rPr>
        <w:t>.</w:t>
      </w:r>
      <w:r>
        <w:rPr>
          <w:i/>
        </w:rPr>
        <w:t>05</w:t>
      </w:r>
      <w:r w:rsidRPr="00E43066">
        <w:rPr>
          <w:i/>
        </w:rPr>
        <w:t>.201</w:t>
      </w:r>
      <w:r>
        <w:rPr>
          <w:i/>
        </w:rPr>
        <w:t>9:</w:t>
      </w:r>
      <w:r w:rsidRPr="00E43066">
        <w:rPr>
          <w:i/>
        </w:rPr>
        <w:t xml:space="preserve"> </w:t>
      </w:r>
      <w:r w:rsidRPr="006E4B19">
        <w:rPr>
          <w:i/>
        </w:rPr>
        <w:t>laying down the guidelines for determining financial corrections to be made to expenditure financed by the Union for non-compliance with the applicable rules on public procurement</w:t>
      </w:r>
      <w:r>
        <w:t>”, (</w:t>
      </w:r>
      <w:r w:rsidRPr="004A3D13">
        <w:rPr>
          <w:b/>
        </w:rPr>
        <w:t>C(2019) 3452 final</w:t>
      </w:r>
      <w:r>
        <w:t xml:space="preserve">), cuyo texto </w:t>
      </w:r>
      <w:r w:rsidRPr="008C14A7">
        <w:t>completo en inglés puede</w:t>
      </w:r>
      <w:r>
        <w:t xml:space="preserve"> ser consultado en:</w:t>
      </w:r>
      <w:r w:rsidR="008C14A7">
        <w:t xml:space="preserve"> </w:t>
      </w:r>
    </w:p>
    <w:p w:rsidR="00820ADA" w:rsidRPr="008C14A7" w:rsidRDefault="00882BA1" w:rsidP="008C14A7">
      <w:pPr>
        <w:spacing w:after="0" w:line="264" w:lineRule="auto"/>
        <w:ind w:left="-284"/>
        <w:jc w:val="both"/>
        <w:rPr>
          <w:i/>
          <w:sz w:val="18"/>
        </w:rPr>
      </w:pPr>
      <w:hyperlink r:id="rId7" w:history="1">
        <w:r w:rsidR="00820ADA" w:rsidRPr="004A3D13">
          <w:rPr>
            <w:rStyle w:val="Hipervnculo"/>
            <w:i/>
            <w:sz w:val="18"/>
          </w:rPr>
          <w:t>https://ec.europa.eu/regional_policy/sources/docgener/informat/2014/GL_corrections_pp_irregularities_EN.pdf</w:t>
        </w:r>
      </w:hyperlink>
      <w:r w:rsidR="00820ADA" w:rsidRPr="004A3D13">
        <w:rPr>
          <w:rStyle w:val="Refdenotaalpie"/>
          <w:b/>
          <w:i/>
          <w:sz w:val="28"/>
          <w:szCs w:val="28"/>
        </w:rPr>
        <w:footnoteReference w:id="1"/>
      </w:r>
    </w:p>
    <w:p w:rsidR="00820ADA" w:rsidRDefault="00820ADA" w:rsidP="004A3D13">
      <w:pPr>
        <w:spacing w:before="360" w:after="120" w:line="264" w:lineRule="auto"/>
        <w:ind w:left="-284"/>
        <w:jc w:val="both"/>
      </w:pPr>
      <w:r w:rsidRPr="004A3D13">
        <w:t>y en</w:t>
      </w:r>
      <w:r w:rsidRPr="008C14A7">
        <w:t xml:space="preserve"> su</w:t>
      </w:r>
      <w:r w:rsidRPr="008C14A7">
        <w:rPr>
          <w:b/>
        </w:rPr>
        <w:t xml:space="preserve"> Anexo</w:t>
      </w:r>
      <w:r w:rsidRPr="008C14A7">
        <w:t xml:space="preserve"> </w:t>
      </w:r>
      <w:r w:rsidRPr="004A3D13">
        <w:t>(también en inglés):</w:t>
      </w:r>
    </w:p>
    <w:p w:rsidR="00820ADA" w:rsidRDefault="00882BA1" w:rsidP="008C14A7">
      <w:pPr>
        <w:spacing w:after="0" w:line="264" w:lineRule="auto"/>
        <w:ind w:left="-284"/>
        <w:jc w:val="both"/>
        <w:rPr>
          <w:rStyle w:val="Hipervnculo"/>
          <w:i/>
          <w:sz w:val="18"/>
        </w:rPr>
      </w:pPr>
      <w:hyperlink r:id="rId8" w:history="1">
        <w:r w:rsidR="00820ADA" w:rsidRPr="008C14A7">
          <w:rPr>
            <w:rStyle w:val="Hipervnculo"/>
            <w:i/>
            <w:sz w:val="18"/>
          </w:rPr>
          <w:t>https://ec.europa.eu/regional_policy/sources/docgener/informat/2014/GL_corrections_pp_irregularities_annex_EN.pdf</w:t>
        </w:r>
      </w:hyperlink>
    </w:p>
    <w:p w:rsidR="00DB7FA1" w:rsidRDefault="00DB7FA1" w:rsidP="008C14A7">
      <w:pPr>
        <w:spacing w:after="0" w:line="264" w:lineRule="auto"/>
        <w:ind w:left="-284"/>
        <w:jc w:val="both"/>
        <w:rPr>
          <w:rStyle w:val="Hipervnculo"/>
          <w:i/>
          <w:sz w:val="18"/>
        </w:rPr>
      </w:pPr>
    </w:p>
    <w:tbl>
      <w:tblPr>
        <w:tblW w:w="9356" w:type="dxa"/>
        <w:tblInd w:w="-289" w:type="dxa"/>
        <w:tblCellMar>
          <w:left w:w="70" w:type="dxa"/>
          <w:right w:w="70" w:type="dxa"/>
        </w:tblCellMar>
        <w:tblLook w:val="04A0" w:firstRow="1" w:lastRow="0" w:firstColumn="1" w:lastColumn="0" w:noHBand="0" w:noVBand="1"/>
      </w:tblPr>
      <w:tblGrid>
        <w:gridCol w:w="568"/>
        <w:gridCol w:w="6520"/>
        <w:gridCol w:w="709"/>
        <w:gridCol w:w="709"/>
        <w:gridCol w:w="850"/>
      </w:tblGrid>
      <w:tr w:rsidR="00820ADA" w:rsidRPr="00783BCD" w:rsidTr="00820ADA">
        <w:trPr>
          <w:cantSplit/>
          <w:trHeight w:val="939"/>
          <w:tblHeader/>
        </w:trPr>
        <w:tc>
          <w:tcPr>
            <w:tcW w:w="56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bookmarkEnd w:id="0"/>
          <w:p w:rsidR="00820ADA" w:rsidRPr="00A27A51" w:rsidRDefault="00820ADA" w:rsidP="009018CC">
            <w:pPr>
              <w:spacing w:before="60" w:after="60" w:line="240" w:lineRule="auto"/>
              <w:jc w:val="right"/>
              <w:outlineLvl w:val="0"/>
              <w:rPr>
                <w:rFonts w:ascii="Calibri" w:eastAsia="Times New Roman" w:hAnsi="Calibri" w:cs="Calibri"/>
                <w:sz w:val="20"/>
                <w:szCs w:val="20"/>
                <w:lang w:eastAsia="es-ES"/>
              </w:rPr>
            </w:pPr>
            <w:r w:rsidRPr="00A27A51">
              <w:rPr>
                <w:rFonts w:ascii="Calibri" w:eastAsia="Times New Roman" w:hAnsi="Calibri" w:cs="Calibri"/>
                <w:sz w:val="20"/>
                <w:szCs w:val="20"/>
                <w:lang w:eastAsia="es-ES"/>
              </w:rPr>
              <w:t> </w:t>
            </w:r>
          </w:p>
        </w:tc>
        <w:tc>
          <w:tcPr>
            <w:tcW w:w="65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20ADA" w:rsidRPr="00A27A51" w:rsidRDefault="00F47BDE" w:rsidP="009018CC">
            <w:pPr>
              <w:spacing w:before="60" w:after="60" w:line="240" w:lineRule="auto"/>
              <w:jc w:val="both"/>
              <w:outlineLvl w:val="0"/>
              <w:rPr>
                <w:rFonts w:ascii="Calibri" w:eastAsia="Times New Roman" w:hAnsi="Calibri" w:cs="Calibri"/>
                <w:b/>
                <w:bCs/>
                <w:sz w:val="20"/>
                <w:szCs w:val="20"/>
                <w:lang w:eastAsia="es-ES"/>
              </w:rPr>
            </w:pPr>
            <w:r>
              <w:rPr>
                <w:rFonts w:ascii="Calibri" w:eastAsia="Times New Roman" w:hAnsi="Calibri" w:cs="Calibri"/>
                <w:b/>
                <w:bCs/>
                <w:sz w:val="20"/>
                <w:szCs w:val="20"/>
                <w:lang w:eastAsia="es-ES"/>
              </w:rPr>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0ADA" w:rsidRPr="00A27A51" w:rsidRDefault="00820ADA" w:rsidP="009018CC">
            <w:pPr>
              <w:spacing w:before="60" w:after="60" w:line="240" w:lineRule="auto"/>
              <w:jc w:val="center"/>
              <w:outlineLvl w:val="0"/>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SI</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20ADA" w:rsidRPr="00A27A51" w:rsidRDefault="00820ADA" w:rsidP="009018CC">
            <w:pPr>
              <w:spacing w:before="60" w:after="60" w:line="240" w:lineRule="auto"/>
              <w:jc w:val="center"/>
              <w:outlineLvl w:val="0"/>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NO</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20ADA" w:rsidRPr="00783BCD" w:rsidRDefault="00820ADA" w:rsidP="009018CC">
            <w:pPr>
              <w:spacing w:before="60" w:after="60" w:line="240" w:lineRule="auto"/>
              <w:jc w:val="center"/>
              <w:outlineLvl w:val="0"/>
              <w:rPr>
                <w:rFonts w:ascii="Calibri" w:eastAsia="Times New Roman" w:hAnsi="Calibri" w:cs="Calibri"/>
                <w:b/>
                <w:bCs/>
                <w:sz w:val="18"/>
                <w:szCs w:val="18"/>
                <w:lang w:eastAsia="es-ES"/>
              </w:rPr>
            </w:pPr>
            <w:r w:rsidRPr="00783BCD">
              <w:rPr>
                <w:rFonts w:ascii="Calibri" w:eastAsia="Times New Roman" w:hAnsi="Calibri" w:cs="Calibri"/>
                <w:b/>
                <w:bCs/>
                <w:sz w:val="18"/>
                <w:szCs w:val="18"/>
                <w:lang w:eastAsia="es-ES"/>
              </w:rPr>
              <w:t>NO Procede</w:t>
            </w:r>
          </w:p>
        </w:tc>
        <w:bookmarkStart w:id="1" w:name="_GoBack"/>
        <w:bookmarkEnd w:id="1"/>
      </w:tr>
      <w:tr w:rsidR="00820ADA" w:rsidRPr="00A27A51" w:rsidTr="00820ADA">
        <w:trPr>
          <w:trHeight w:val="529"/>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documento en el que se determine con precisión la naturaleza y extensión de las necesidades que se pretenden cubrir mediante el contrato, así como la idoneidad de su objeto y contenido para satisfacerlas, previamente a iniciar el procedimiento de adjudicación?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30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verificado la competencia del órgano de contratación?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cálculo del valor estimado del contrato conforme a la normativa aplicable?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certificado de existencia de crédito o documento que legalmente lo sustituya para el proyecto?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102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6.</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comprobado que no existen en el expediente indicios de fraccionamiento del objeto del contrato, de forma que se hayan eludido los requisitos de publicidad, concurrencia o los relativos al procedimiento de adjudicación que correspondan?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7.</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verificado la aprobación por parte del órgano de contratación del expediente de contratación y de la fase de licitación?</w:t>
            </w:r>
            <w:bookmarkStart w:id="2" w:name="_Ref22195227"/>
            <w:r w:rsidRPr="009A28A4">
              <w:rPr>
                <w:rStyle w:val="Refdenotaalpie"/>
                <w:rFonts w:ascii="Calibri" w:eastAsia="Times New Roman" w:hAnsi="Calibri" w:cs="Calibri"/>
                <w:b/>
                <w:color w:val="000000"/>
                <w:sz w:val="28"/>
                <w:szCs w:val="28"/>
                <w:lang w:eastAsia="es-ES"/>
              </w:rPr>
              <w:footnoteReference w:id="2"/>
            </w:r>
            <w:bookmarkEnd w:id="2"/>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103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8.</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contratos de obra, ¿existe, en su caso, la documentación exigida por la normativa (proyecto de obra, informe de la Oficina de Supervisión de proyectos, acta de replanteo previo, certificado de disponibilidad de los terrenos, acta de comprobación del replanteo favorable…)?</w:t>
            </w:r>
            <w:r w:rsidRPr="002E4C8C">
              <w:rPr>
                <w:rStyle w:val="Refdenotaalpie"/>
              </w:rPr>
              <w:fldChar w:fldCharType="begin"/>
            </w:r>
            <w:r w:rsidRPr="002E4C8C">
              <w:rPr>
                <w:rStyle w:val="Refdenotaalpie"/>
              </w:rPr>
              <w:instrText xml:space="preserve"> NOTEREF _Ref22195227 \f \h  \* MERGEFORMAT </w:instrText>
            </w:r>
            <w:r w:rsidRPr="002E4C8C">
              <w:rPr>
                <w:rStyle w:val="Refdenotaalpie"/>
              </w:rPr>
            </w:r>
            <w:r w:rsidRPr="002E4C8C">
              <w:rPr>
                <w:rStyle w:val="Refdenotaalpie"/>
              </w:rPr>
              <w:fldChar w:fldCharType="separate"/>
            </w:r>
            <w:r w:rsidRPr="002E4C8C">
              <w:rPr>
                <w:rStyle w:val="Refdenotaalpie"/>
                <w:rFonts w:ascii="Calibri" w:eastAsia="Times New Roman" w:hAnsi="Calibri" w:cs="Calibri"/>
                <w:b/>
                <w:color w:val="000000"/>
                <w:sz w:val="28"/>
                <w:szCs w:val="28"/>
                <w:lang w:eastAsia="es-ES"/>
              </w:rPr>
              <w:t>2</w:t>
            </w:r>
            <w:r w:rsidRPr="002E4C8C">
              <w:rPr>
                <w:rStyle w:val="Refdenotaalp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6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9.</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haberse utilizado la tramitación de urgencia o emergencia, ¿se dispone de una declaración en tal sentido y existe un informe técnico que la motive adecuadamente?</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49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10.</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contratación conjunta de redacción de proyecto y de ejecución de las obras, ¿se cumplen los requisitos que establece la legislación aplicable?</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6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11.</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negociado, ¿se ha justificado adecuadamente el procedimiento en base a los supuestos de aplicación establecidos en la normativa?</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12.</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negociado sin publicidad, ¿se dan las condiciones establecidas en la normativa aplicable para que no se publique la licitación?</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30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13.</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han cumplido las normas de publicidad de las licitaciones?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2E4C8C">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65"/>
        </w:trPr>
        <w:tc>
          <w:tcPr>
            <w:tcW w:w="568" w:type="dxa"/>
            <w:tcBorders>
              <w:top w:val="nil"/>
              <w:left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14.</w:t>
            </w:r>
          </w:p>
        </w:tc>
        <w:tc>
          <w:tcPr>
            <w:tcW w:w="6520" w:type="dxa"/>
            <w:tcBorders>
              <w:top w:val="nil"/>
              <w:left w:val="nil"/>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haberse publicado, ¿incluía el anuncio de licitación una mención a la cofinanciación europea?, ¿Se ha mencionado la cofinanciación europea en la documentación del expediente?</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single" w:sz="4" w:space="0" w:color="auto"/>
              <w:left w:val="nil"/>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single" w:sz="4" w:space="0" w:color="auto"/>
              <w:left w:val="nil"/>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 </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mencionado la cofinanciación europea en la documentación del expediente?</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15.</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Una vez realizada la convocatoria de la licitación, ¿se han cumplido los plazos de presentación de las ofertas y de las proposiciones?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lastRenderedPageBreak/>
              <w:t>16.</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existir prórroga en el plazo de recepción de ofertas o solicitudes de participación, ¿se han publicado?</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17.</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¿Los pliegos y demás condiciones se encuentran accesibles para los licitadores durante el plazo de recepción de ofertas?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30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18.</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documento acreditativo de las proposiciones presentadas?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6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19.</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que el órgano de contratación esté asistido por una Mesa de contratación, ¿se ajusta la composición de ésta a lo establecido en la normativa aplicable?</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46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20.</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acta (o documento análogo) de la Mesa de Contratación (u órgano equivalente) de revisión de la documentación presentada por los licitadores?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127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21.</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acreditado la personalidad jurídica de los licitadores, clasificación o solvencia, y se ha obtenido de ellos una declaración de no estar incursos en prohibición de contratar, así como el cumplimiento de las obligaciones tributarias y frente a la Seguridad Social o, en su caso, se ha aportado el DEUC o declaración responsable?</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22.</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su caso, ¿se ha dado plazo para subsanación de defectos u omisiones en la presentación de la documentación?</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6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23.</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¿Queda comprobado que no se han utilizado criterios </w:t>
            </w:r>
            <w:r w:rsidR="002A21E0">
              <w:rPr>
                <w:rFonts w:ascii="Calibri" w:eastAsia="Times New Roman" w:hAnsi="Calibri" w:cs="Calibri"/>
                <w:color w:val="000000"/>
                <w:sz w:val="20"/>
                <w:szCs w:val="20"/>
                <w:lang w:eastAsia="es-ES"/>
              </w:rPr>
              <w:t xml:space="preserve">de </w:t>
            </w:r>
            <w:r w:rsidRPr="00A27A51">
              <w:rPr>
                <w:rFonts w:ascii="Calibri" w:eastAsia="Times New Roman" w:hAnsi="Calibri" w:cs="Calibri"/>
                <w:color w:val="000000"/>
                <w:sz w:val="20"/>
                <w:szCs w:val="20"/>
                <w:lang w:eastAsia="es-ES"/>
              </w:rPr>
              <w:t>selección no relacionados con el objeto del contrato y/o desproporcionados o discriminatorios?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24.</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características técnicas cuyo efecto haya sido eliminar o disuadir a determinados licitadores?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25.</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modificado los criterios de selección tras la apertura de ofertas?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26.</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establecerse un único criterio de valoración de ofertas, ¿se corresponde éste con el de precio más bajo?</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27.</w:t>
            </w:r>
          </w:p>
        </w:tc>
        <w:tc>
          <w:tcPr>
            <w:tcW w:w="6520" w:type="dxa"/>
            <w:tcBorders>
              <w:top w:val="nil"/>
              <w:left w:val="nil"/>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¿Son perfectamente separables los criterios de solvencia de los criterios de valoración de ofertas?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w:t>
            </w:r>
          </w:p>
        </w:tc>
        <w:tc>
          <w:tcPr>
            <w:tcW w:w="6520" w:type="dxa"/>
            <w:tcBorders>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comprobado que no se utilizan criterios de selección como criterios de adjudicación?</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28.</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incluye algún criterio de valoración de ofertas no directamente vinculado con el objeto de contrato?</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30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29.</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¿Están los criterios de valoración claramente definidos?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30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30.</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atribuye una ponderación relativa a cada uno de los criterios de valoración?</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31.</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2A21E0">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existen pruebas de que haya existido discriminación por distintos motivos (nacionalidad, ubicación, etc.)?</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6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32.</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criterios de valoración de las ofertas que tengan por efecto desincentivar la presentación de ofertas más económicas?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6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33.</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en la valoración de la oferta económica fórmulas o algoritmos que produzcan como efecto que ofertas más baratas obtengan peor puntuación que ofertas más caras?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6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34.</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 utilizado como criterio de adjudicación mejoras o variantes, ¿se encuentra definido sobre qué elementos y en qué condiciones se admitirán y cómo se ponderarán?</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100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35.</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su caso, ¿ha sido posterior la apertura del sobre que contiene la documentación para valorar los criterios evaluables de forma automática (mediante la aplicación de fórmulas) a la fecha del informe relativo a la valoración de los criterios cuya cuantificación depende de un juicio de valor?</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127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36.</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constituido un comité de expertos o se ha encomendado la evaluación de las ofertas a un organismo técnico especializado en caso de que los criterios evaluables de forma automática por aplicación de fórmulas tengan una ponderación inferior a la atribuida a los criterios cuya cuantificación depende de un juicio de valor?</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102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37.</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ser necesaria la constitución de un comité de expertos para la valoración de los criterios cuya cuantificación depende de un juicio de valor, ¿se ajusta la composición de dicho comité a lo establecido en la normativa aplicable?</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38.</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documentación acreditativa del órgano adjudicador que recoja todas las ofertas y la valoración de las mismas?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lastRenderedPageBreak/>
              <w:t>39.</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informe técnico de valoración de ofertas en el que se motive la puntuación dada a cada oferta?</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40.</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¿Han existido ofertas desproporcionadas o incursas en presunción de temeridad?</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30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41.</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afirmativo, ¿se ha solicitado su justificación?</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42.</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haberse rechazado ofertas por ser anormales o desproporcionadas, ¿se ha justificado correctamente?</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43.</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en su caso, el poder adjudicador no ha permitido que ningún licitador modificase su oferta durante la fase de evaluación?</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44.</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abierto o restringido, ¿queda comprobado que no se ha negociado con los licitadores durante la fase de evaluación?</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6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45.</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la evaluación de las ofertas, ¿se han tenido en cuenta exclusivamente los criterios de valoración establecidos en los pliegos y han sido ponderados conforme a los mismos?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6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46.</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asistencia de Mesa de contratación, ¿coincide la propuesta de adjudicación de la Mesa de Contratación con la adjudicación realizada por el órgano de contratación?</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30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47.</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que no sea así, ¿se ha motivado adecuadamente?</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48.</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adjudicado el contrato al licitador que ha presentado la oferta económicamente más ventajosa?</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30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49.</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notificado a los participantes en la licitación la adjudicación del contrato?</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102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50.</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¿El órgano de contratación ha comunicado a todo candidato o licitador rechazado que lo solicite, los motivos del rechazo de su candidatura o de su proposición y las características de la proposición del adjudicatario determinantes de la adjudicación a su favor?</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30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51.</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publicado la adjudicación?</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46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52.</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hecho referencia en la publicación de la adjudicación a la cofinanciación europea?</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48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53.</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A efectos de la adjudicación del contrato, si se ha procedido a una subasta electrónica, ¿se ajusta a lo establecido en la normativa aplicable?</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45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54.</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adquisición centralizada, ¿existe justificación técnico económica que motive debidamente la elección?</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30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55.</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constituido garantía definitiva?</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45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56.</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negociado, ¿se han mantenido durante la negociación las condiciones establecidas en el anuncio?</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E05664">
        <w:trPr>
          <w:trHeight w:val="538"/>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57.</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Para el caso de procedimientos restringidos negociados, en caso de adjudicación por exclusividad técnica o artística, ¿existe acreditación de la exclusividad objetiva (bien y servicio) y de acreditación subjetiva (proveedor)?</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r w:rsidRPr="009A28A4">
              <w:rPr>
                <w:rFonts w:ascii="Calibri" w:eastAsia="Times New Roman" w:hAnsi="Calibri" w:cs="Calibri"/>
                <w:b/>
                <w:color w:val="000000"/>
                <w:sz w:val="28"/>
                <w:szCs w:val="28"/>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6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58.</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de adjudicación restringido, ¿se ha justificado en los pliegos los criterios objetivos de solvencia conforme a los cuales han sido elegidos los candidatos invitados a presentar proposiciones?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5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59.</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procedimiento restringido o negociado, ¿se ha fijado un número máximo y mínimo de empresas invitadas a participar? (En procedimientos negociados, tres empresas; cinco empresas en procedimientos restringidos).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6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60.</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procedimientos negociados o restringidos, ¿queda comprobado que el plazo señalado a los empresarios invitados a que presenten sus proposiciones no es inferior al previsto en la normativa?</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51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61.</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procedimientos negociados o restringidos, ¿se dejado constancia de las invitaciones cursadas y las ofertas recibidas?</w:t>
            </w:r>
            <w:r w:rsidRPr="009A28A4">
              <w:rPr>
                <w:rFonts w:ascii="Calibri" w:eastAsia="Times New Roman" w:hAnsi="Calibri" w:cs="Calibri"/>
                <w:b/>
                <w:color w:val="000000"/>
                <w:sz w:val="28"/>
                <w:szCs w:val="28"/>
                <w:lang w:eastAsia="es-ES"/>
              </w:rPr>
              <w:fldChar w:fldCharType="begin"/>
            </w:r>
            <w:r w:rsidRPr="009A28A4">
              <w:rPr>
                <w:rFonts w:ascii="Calibri" w:eastAsia="Times New Roman" w:hAnsi="Calibri" w:cs="Calibri"/>
                <w:b/>
                <w:color w:val="000000"/>
                <w:sz w:val="28"/>
                <w:szCs w:val="28"/>
                <w:lang w:eastAsia="es-ES"/>
              </w:rPr>
              <w:instrText xml:space="preserve"> NOTEREF _Ref22195227 \f \h  \* MERGEFORMAT </w:instrText>
            </w:r>
            <w:r w:rsidRPr="009A28A4">
              <w:rPr>
                <w:rFonts w:ascii="Calibri" w:eastAsia="Times New Roman" w:hAnsi="Calibri" w:cs="Calibri"/>
                <w:b/>
                <w:color w:val="000000"/>
                <w:sz w:val="28"/>
                <w:szCs w:val="28"/>
                <w:lang w:eastAsia="es-ES"/>
              </w:rPr>
            </w:r>
            <w:r w:rsidRPr="009A28A4">
              <w:rPr>
                <w:rFonts w:ascii="Calibri" w:eastAsia="Times New Roman" w:hAnsi="Calibri" w:cs="Calibri"/>
                <w:b/>
                <w:color w:val="000000"/>
                <w:sz w:val="28"/>
                <w:szCs w:val="28"/>
                <w:lang w:eastAsia="es-ES"/>
              </w:rPr>
              <w:fldChar w:fldCharType="separate"/>
            </w:r>
            <w:r w:rsidRPr="009A28A4">
              <w:rPr>
                <w:rStyle w:val="Refdenotaalpie"/>
                <w:b/>
                <w:sz w:val="28"/>
                <w:szCs w:val="28"/>
              </w:rPr>
              <w:t>2</w:t>
            </w:r>
            <w:r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48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62.</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¿El contrato firmado con el adjudicatario lo ha sido por el importe de la oferta que éste ha presentado y no contiene cláusulas contrarias a los pliegos?</w:t>
            </w:r>
            <w:r w:rsidRPr="002E4C8C">
              <w:rPr>
                <w:rFonts w:ascii="Calibri" w:eastAsia="Times New Roman" w:hAnsi="Calibri" w:cs="Calibri"/>
                <w:b/>
                <w:color w:val="000000"/>
                <w:sz w:val="28"/>
                <w:szCs w:val="28"/>
                <w:lang w:eastAsia="es-ES"/>
              </w:rPr>
              <w:fldChar w:fldCharType="begin"/>
            </w:r>
            <w:r w:rsidRPr="002E4C8C">
              <w:rPr>
                <w:rFonts w:ascii="Calibri" w:eastAsia="Times New Roman" w:hAnsi="Calibri" w:cs="Calibri"/>
                <w:b/>
                <w:color w:val="000000"/>
                <w:sz w:val="28"/>
                <w:szCs w:val="28"/>
                <w:lang w:eastAsia="es-ES"/>
              </w:rPr>
              <w:instrText xml:space="preserve"> NOTEREF _Ref22195227 \f \h  \* MERGEFORMAT </w:instrText>
            </w:r>
            <w:r w:rsidRPr="002E4C8C">
              <w:rPr>
                <w:rFonts w:ascii="Calibri" w:eastAsia="Times New Roman" w:hAnsi="Calibri" w:cs="Calibri"/>
                <w:b/>
                <w:color w:val="000000"/>
                <w:sz w:val="28"/>
                <w:szCs w:val="28"/>
                <w:lang w:eastAsia="es-ES"/>
              </w:rPr>
            </w:r>
            <w:r w:rsidRPr="002E4C8C">
              <w:rPr>
                <w:rFonts w:ascii="Calibri" w:eastAsia="Times New Roman" w:hAnsi="Calibri" w:cs="Calibri"/>
                <w:b/>
                <w:color w:val="000000"/>
                <w:sz w:val="28"/>
                <w:szCs w:val="28"/>
                <w:lang w:eastAsia="es-ES"/>
              </w:rPr>
              <w:fldChar w:fldCharType="separate"/>
            </w:r>
            <w:r w:rsidRPr="002E4C8C">
              <w:rPr>
                <w:rStyle w:val="Refdenotaalpie"/>
                <w:b/>
                <w:sz w:val="28"/>
                <w:szCs w:val="28"/>
              </w:rPr>
              <w:t>2</w:t>
            </w:r>
            <w:r w:rsidRPr="002E4C8C">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6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63.</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F47BDE" w:rsidP="00986FB0">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cumplen los requisitos para ser un contrato menor? (Obras: importe inferior a 50.000€ (IVA excluido); Suministros o servicios: importe inferior a 18.000€ (IVA excluido))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735"/>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lastRenderedPageBreak/>
              <w:t>64.</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86FB0">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existen contrataciones de idéntico objeto en los últimos doce meses que pudieran suponer un fraccionamiento del objeto del contrato y suponer la inaplicación de los límites definidos en el TRLCSP?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r w:rsidR="00820ADA" w:rsidRPr="00A27A51" w:rsidTr="00820ADA">
        <w:trPr>
          <w:trHeight w:val="1020"/>
        </w:trPr>
        <w:tc>
          <w:tcPr>
            <w:tcW w:w="568" w:type="dxa"/>
            <w:tcBorders>
              <w:top w:val="nil"/>
              <w:left w:val="single" w:sz="4" w:space="0" w:color="auto"/>
              <w:bottom w:val="single" w:sz="4" w:space="0" w:color="auto"/>
              <w:right w:val="nil"/>
            </w:tcBorders>
            <w:shd w:val="clear" w:color="auto" w:fill="auto"/>
            <w:noWrap/>
            <w:hideMark/>
          </w:tcPr>
          <w:p w:rsidR="00820ADA" w:rsidRPr="00A27A51" w:rsidRDefault="00820ADA" w:rsidP="009018CC">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65.</w:t>
            </w:r>
          </w:p>
        </w:tc>
        <w:tc>
          <w:tcPr>
            <w:tcW w:w="6520" w:type="dxa"/>
            <w:tcBorders>
              <w:top w:val="nil"/>
              <w:left w:val="nil"/>
              <w:bottom w:val="single" w:sz="4" w:space="0" w:color="auto"/>
              <w:right w:val="single" w:sz="4" w:space="0" w:color="auto"/>
            </w:tcBorders>
            <w:shd w:val="clear" w:color="auto" w:fill="auto"/>
            <w:vAlign w:val="center"/>
            <w:hideMark/>
          </w:tcPr>
          <w:p w:rsidR="00820ADA" w:rsidRPr="00A27A51" w:rsidRDefault="00820ADA" w:rsidP="009018CC">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contratos menores, ¿consta en el expediente la siguiente documentación: aprobación del gasto, factura y, en su caso, el presupuesto (contrato de obras), informe de supervisión (cuando el trabajo afecte a la estabilidad, seguridad o estanqueidad de la obra), proyecto (si procede)?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rsidR="00820ADA" w:rsidRPr="00A27A51" w:rsidRDefault="00820ADA" w:rsidP="009018CC">
            <w:pPr>
              <w:spacing w:before="60" w:after="60" w:line="240" w:lineRule="auto"/>
              <w:jc w:val="center"/>
              <w:outlineLvl w:val="0"/>
              <w:rPr>
                <w:rFonts w:ascii="Calibri" w:eastAsia="Times New Roman" w:hAnsi="Calibri" w:cs="Calibri"/>
                <w:b/>
                <w:bCs/>
                <w:color w:val="000000"/>
                <w:lang w:eastAsia="es-ES"/>
              </w:rPr>
            </w:pPr>
          </w:p>
        </w:tc>
      </w:tr>
    </w:tbl>
    <w:p w:rsidR="00995688" w:rsidRPr="00E05664" w:rsidRDefault="00995688" w:rsidP="00820ADA">
      <w:pPr>
        <w:rPr>
          <w:sz w:val="16"/>
        </w:rPr>
      </w:pPr>
    </w:p>
    <w:p w:rsidR="00986FB0" w:rsidRDefault="00986FB0" w:rsidP="00986FB0">
      <w:pPr>
        <w:ind w:hanging="284"/>
      </w:pPr>
      <w:r>
        <w:t>*</w:t>
      </w:r>
      <w:r>
        <w:tab/>
        <w:t>Con la nueva Ley de Contratos del Sector Público (Ley 9/2017 L</w:t>
      </w:r>
      <w:r w:rsidR="00E05664">
        <w:t>CS</w:t>
      </w:r>
      <w:r>
        <w:t>P) las preguntas 63 y 64 quedan redactadas de la siguiente forma:</w:t>
      </w:r>
    </w:p>
    <w:p w:rsidR="00986FB0" w:rsidRDefault="00986FB0" w:rsidP="00986FB0">
      <w:pPr>
        <w:spacing w:before="60" w:after="60" w:line="240" w:lineRule="auto"/>
        <w:ind w:left="284" w:hanging="284"/>
        <w:outlineLvl w:val="0"/>
        <w:rPr>
          <w:rFonts w:ascii="Calibri" w:eastAsia="Times New Roman" w:hAnsi="Calibri" w:cs="Calibri"/>
          <w:color w:val="000000"/>
          <w:sz w:val="20"/>
          <w:szCs w:val="20"/>
          <w:lang w:eastAsia="es-ES"/>
        </w:rPr>
      </w:pPr>
      <w:r>
        <w:t>63</w:t>
      </w:r>
      <w:r>
        <w:tab/>
      </w:r>
      <w:r w:rsidRPr="00A27A51">
        <w:rPr>
          <w:rFonts w:ascii="Calibri" w:eastAsia="Times New Roman" w:hAnsi="Calibri" w:cs="Calibri"/>
          <w:color w:val="000000"/>
          <w:sz w:val="20"/>
          <w:szCs w:val="20"/>
          <w:lang w:eastAsia="es-ES"/>
        </w:rPr>
        <w:t>¿Se cumplen los requisitos para ser un contrato menor? (Obras: importe inferior a 50.000€ (IVA excluido)</w:t>
      </w:r>
      <w:r>
        <w:rPr>
          <w:rFonts w:ascii="Calibri" w:eastAsia="Times New Roman" w:hAnsi="Calibri" w:cs="Calibri"/>
          <w:color w:val="000000"/>
          <w:sz w:val="20"/>
          <w:szCs w:val="20"/>
          <w:lang w:eastAsia="es-ES"/>
        </w:rPr>
        <w:t xml:space="preserve"> (TRLCSP</w:t>
      </w:r>
      <w:r w:rsidR="00E05664">
        <w:rPr>
          <w:rStyle w:val="Refdenotaalpie"/>
          <w:rFonts w:ascii="Calibri" w:eastAsia="Times New Roman" w:hAnsi="Calibri" w:cs="Calibri"/>
          <w:color w:val="000000"/>
          <w:sz w:val="20"/>
          <w:szCs w:val="20"/>
          <w:lang w:eastAsia="es-ES"/>
        </w:rPr>
        <w:footnoteReference w:id="3"/>
      </w:r>
      <w:r>
        <w:rPr>
          <w:rFonts w:ascii="Calibri" w:eastAsia="Times New Roman" w:hAnsi="Calibri" w:cs="Calibri"/>
          <w:color w:val="000000"/>
          <w:sz w:val="20"/>
          <w:szCs w:val="20"/>
          <w:lang w:eastAsia="es-ES"/>
        </w:rPr>
        <w:t xml:space="preserve">) o 40.000€ </w:t>
      </w:r>
      <w:r w:rsidRPr="00A27A51">
        <w:rPr>
          <w:rFonts w:ascii="Calibri" w:eastAsia="Times New Roman" w:hAnsi="Calibri" w:cs="Calibri"/>
          <w:color w:val="000000"/>
          <w:sz w:val="20"/>
          <w:szCs w:val="20"/>
          <w:lang w:eastAsia="es-ES"/>
        </w:rPr>
        <w:t>(IVA excluido)</w:t>
      </w:r>
      <w:r>
        <w:rPr>
          <w:rFonts w:ascii="Calibri" w:eastAsia="Times New Roman" w:hAnsi="Calibri" w:cs="Calibri"/>
          <w:color w:val="000000"/>
          <w:sz w:val="20"/>
          <w:szCs w:val="20"/>
          <w:lang w:eastAsia="es-ES"/>
        </w:rPr>
        <w:t xml:space="preserve"> (LCSP)</w:t>
      </w:r>
      <w:r w:rsidRPr="00A27A51">
        <w:rPr>
          <w:rFonts w:ascii="Calibri" w:eastAsia="Times New Roman" w:hAnsi="Calibri" w:cs="Calibri"/>
          <w:color w:val="000000"/>
          <w:sz w:val="20"/>
          <w:szCs w:val="20"/>
          <w:lang w:eastAsia="es-ES"/>
        </w:rPr>
        <w:t>; Suministros o servicios: importe inferior a 18.000€ (IVA excluido)</w:t>
      </w:r>
      <w:r>
        <w:rPr>
          <w:rFonts w:ascii="Calibri" w:eastAsia="Times New Roman" w:hAnsi="Calibri" w:cs="Calibri"/>
          <w:color w:val="000000"/>
          <w:sz w:val="20"/>
          <w:szCs w:val="20"/>
          <w:lang w:eastAsia="es-ES"/>
        </w:rPr>
        <w:t xml:space="preserve"> (TRLCSP) o 15.000€ </w:t>
      </w:r>
      <w:r w:rsidRPr="00A27A51">
        <w:rPr>
          <w:rFonts w:ascii="Calibri" w:eastAsia="Times New Roman" w:hAnsi="Calibri" w:cs="Calibri"/>
          <w:color w:val="000000"/>
          <w:sz w:val="20"/>
          <w:szCs w:val="20"/>
          <w:lang w:eastAsia="es-ES"/>
        </w:rPr>
        <w:t>(IVA excluido)</w:t>
      </w:r>
      <w:r>
        <w:rPr>
          <w:rFonts w:ascii="Calibri" w:eastAsia="Times New Roman" w:hAnsi="Calibri" w:cs="Calibri"/>
          <w:color w:val="000000"/>
          <w:sz w:val="20"/>
          <w:szCs w:val="20"/>
          <w:lang w:eastAsia="es-ES"/>
        </w:rPr>
        <w:t xml:space="preserve"> (LCSP)</w:t>
      </w:r>
      <w:r w:rsidRPr="00A27A51">
        <w:rPr>
          <w:rFonts w:ascii="Calibri" w:eastAsia="Times New Roman" w:hAnsi="Calibri" w:cs="Calibri"/>
          <w:color w:val="000000"/>
          <w:sz w:val="20"/>
          <w:szCs w:val="20"/>
          <w:lang w:eastAsia="es-ES"/>
        </w:rPr>
        <w:t>)</w:t>
      </w:r>
      <w:r w:rsidR="00E05664">
        <w:rPr>
          <w:rFonts w:ascii="Calibri" w:eastAsia="Times New Roman" w:hAnsi="Calibri" w:cs="Calibri"/>
          <w:color w:val="000000"/>
          <w:sz w:val="20"/>
          <w:szCs w:val="20"/>
          <w:lang w:eastAsia="es-ES"/>
        </w:rPr>
        <w:t>.</w:t>
      </w:r>
    </w:p>
    <w:p w:rsidR="00E05664" w:rsidRDefault="00E05664" w:rsidP="00E05664">
      <w:pPr>
        <w:spacing w:before="60" w:after="60" w:line="240" w:lineRule="auto"/>
        <w:ind w:left="284"/>
        <w:outlineLvl w:val="0"/>
        <w:rPr>
          <w:rFonts w:ascii="Calibri" w:eastAsia="Times New Roman" w:hAnsi="Calibri" w:cs="Calibri"/>
          <w:color w:val="000000"/>
          <w:sz w:val="20"/>
          <w:szCs w:val="20"/>
          <w:lang w:eastAsia="es-ES"/>
        </w:rPr>
      </w:pPr>
      <w:r w:rsidRPr="00EF3F08">
        <w:rPr>
          <w:rFonts w:ascii="Calibri" w:eastAsia="Times New Roman" w:hAnsi="Calibri" w:cs="Calibri"/>
          <w:color w:val="000000"/>
          <w:sz w:val="20"/>
          <w:szCs w:val="20"/>
          <w:lang w:eastAsia="es-ES"/>
        </w:rPr>
        <w:t>La LCSP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w:t>
      </w:r>
    </w:p>
    <w:p w:rsidR="00986FB0" w:rsidRDefault="00986FB0" w:rsidP="00E05664">
      <w:pPr>
        <w:spacing w:before="240" w:after="60" w:line="240" w:lineRule="auto"/>
        <w:ind w:left="284" w:hanging="284"/>
        <w:outlineLvl w:val="0"/>
      </w:pPr>
      <w:r>
        <w:t>64.</w:t>
      </w:r>
      <w:r>
        <w:tab/>
      </w:r>
      <w:r w:rsidRPr="00A27A51">
        <w:rPr>
          <w:rFonts w:ascii="Calibri" w:eastAsia="Times New Roman" w:hAnsi="Calibri" w:cs="Calibri"/>
          <w:color w:val="000000"/>
          <w:sz w:val="20"/>
          <w:szCs w:val="20"/>
          <w:lang w:eastAsia="es-ES"/>
        </w:rPr>
        <w:t>¿Queda comprobado que no existen contrataciones de idéntico objeto en los últimos doce meses que pudieran suponer un fraccionamiento del objeto del contrato y suponer la inaplicación de los límites definidos en el TRLCSP</w:t>
      </w:r>
      <w:r>
        <w:rPr>
          <w:rFonts w:ascii="Calibri" w:eastAsia="Times New Roman" w:hAnsi="Calibri" w:cs="Calibri"/>
          <w:color w:val="000000"/>
          <w:sz w:val="20"/>
          <w:szCs w:val="20"/>
          <w:lang w:eastAsia="es-ES"/>
        </w:rPr>
        <w:t>/LCSP</w:t>
      </w:r>
      <w:r w:rsidRPr="00A27A51">
        <w:rPr>
          <w:rFonts w:ascii="Calibri" w:eastAsia="Times New Roman" w:hAnsi="Calibri" w:cs="Calibri"/>
          <w:color w:val="000000"/>
          <w:sz w:val="20"/>
          <w:szCs w:val="20"/>
          <w:lang w:eastAsia="es-ES"/>
        </w:rPr>
        <w:t>?</w:t>
      </w:r>
    </w:p>
    <w:sectPr w:rsidR="00986FB0" w:rsidSect="00B53C0A">
      <w:headerReference w:type="default" r:id="rId9"/>
      <w:footerReference w:type="default" r:id="rId10"/>
      <w:pgSz w:w="11906" w:h="16838"/>
      <w:pgMar w:top="1417" w:right="1133" w:bottom="851" w:left="1701" w:header="708"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CFF" w:rsidRDefault="00256CFF" w:rsidP="004A48B1">
      <w:pPr>
        <w:spacing w:after="0" w:line="240" w:lineRule="auto"/>
      </w:pPr>
      <w:r>
        <w:separator/>
      </w:r>
    </w:p>
  </w:endnote>
  <w:endnote w:type="continuationSeparator" w:id="0">
    <w:p w:rsidR="00256CFF" w:rsidRDefault="00256CFF" w:rsidP="004A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FF" w:rsidRDefault="00256CFF">
    <w:pPr>
      <w:pStyle w:val="Piedepgina"/>
      <w:jc w:val="center"/>
    </w:pPr>
  </w:p>
  <w:tbl>
    <w:tblPr>
      <w:tblW w:w="0" w:type="auto"/>
      <w:tblInd w:w="-284" w:type="dxa"/>
      <w:tblLook w:val="04A0" w:firstRow="1" w:lastRow="0" w:firstColumn="1" w:lastColumn="0" w:noHBand="0" w:noVBand="1"/>
    </w:tblPr>
    <w:tblGrid>
      <w:gridCol w:w="1043"/>
      <w:gridCol w:w="7518"/>
      <w:gridCol w:w="795"/>
    </w:tblGrid>
    <w:tr w:rsidR="000F3BBD" w:rsidRPr="00B6364B" w:rsidTr="00941713">
      <w:trPr>
        <w:trHeight w:val="340"/>
      </w:trPr>
      <w:tc>
        <w:tcPr>
          <w:tcW w:w="1043" w:type="dxa"/>
          <w:shd w:val="clear" w:color="auto" w:fill="auto"/>
        </w:tcPr>
        <w:p w:rsidR="000F3BBD" w:rsidRPr="00B6364B" w:rsidRDefault="000F3BBD" w:rsidP="000F3BBD">
          <w:pPr>
            <w:pStyle w:val="Piedepgina"/>
            <w:jc w:val="center"/>
            <w:rPr>
              <w:rFonts w:cs="Arial"/>
              <w:sz w:val="20"/>
              <w:szCs w:val="20"/>
            </w:rPr>
          </w:pPr>
        </w:p>
      </w:tc>
      <w:tc>
        <w:tcPr>
          <w:tcW w:w="7518" w:type="dxa"/>
          <w:shd w:val="clear" w:color="auto" w:fill="auto"/>
        </w:tcPr>
        <w:p w:rsidR="00B53C0A" w:rsidRDefault="00B53C0A" w:rsidP="004A3D13">
          <w:pPr>
            <w:pStyle w:val="Piedepgina"/>
            <w:jc w:val="right"/>
            <w:rPr>
              <w:rFonts w:cs="Arial"/>
              <w:sz w:val="18"/>
              <w:szCs w:val="20"/>
            </w:rPr>
          </w:pPr>
        </w:p>
        <w:p w:rsidR="000F3BBD" w:rsidRPr="00E13978" w:rsidRDefault="000F3BBD" w:rsidP="004A3D13">
          <w:pPr>
            <w:pStyle w:val="Piedepgina"/>
            <w:jc w:val="right"/>
            <w:rPr>
              <w:rFonts w:cs="Arial"/>
              <w:sz w:val="20"/>
              <w:szCs w:val="20"/>
            </w:rPr>
          </w:pPr>
          <w:r w:rsidRPr="004A3D13">
            <w:rPr>
              <w:rFonts w:cs="Arial"/>
              <w:sz w:val="18"/>
              <w:szCs w:val="20"/>
            </w:rPr>
            <w:t>Fondo Europeo de Desarrollo Regional (FEDER)</w:t>
          </w:r>
        </w:p>
      </w:tc>
      <w:tc>
        <w:tcPr>
          <w:tcW w:w="795" w:type="dxa"/>
          <w:shd w:val="clear" w:color="auto" w:fill="C45911"/>
          <w:vAlign w:val="center"/>
        </w:tcPr>
        <w:p w:rsidR="000F3BBD" w:rsidRPr="00B6364B" w:rsidRDefault="000F3BBD" w:rsidP="00941713">
          <w:pPr>
            <w:pStyle w:val="Piedepgina"/>
            <w:jc w:val="right"/>
            <w:rPr>
              <w:rFonts w:cs="Arial"/>
              <w:sz w:val="20"/>
              <w:szCs w:val="20"/>
            </w:rPr>
          </w:pPr>
          <w:r w:rsidRPr="00B6364B">
            <w:rPr>
              <w:rFonts w:cs="Arial"/>
              <w:sz w:val="20"/>
              <w:szCs w:val="20"/>
            </w:rPr>
            <w:fldChar w:fldCharType="begin"/>
          </w:r>
          <w:r w:rsidRPr="00B6364B">
            <w:rPr>
              <w:rFonts w:cs="Arial"/>
              <w:sz w:val="20"/>
              <w:szCs w:val="20"/>
            </w:rPr>
            <w:instrText xml:space="preserve"> PAGE   \* MERGEFORMAT </w:instrText>
          </w:r>
          <w:r w:rsidRPr="00B6364B">
            <w:rPr>
              <w:rFonts w:cs="Arial"/>
              <w:sz w:val="20"/>
              <w:szCs w:val="20"/>
            </w:rPr>
            <w:fldChar w:fldCharType="separate"/>
          </w:r>
          <w:r w:rsidR="00882BA1">
            <w:rPr>
              <w:rFonts w:cs="Arial"/>
              <w:noProof/>
              <w:sz w:val="20"/>
              <w:szCs w:val="20"/>
            </w:rPr>
            <w:t>1</w:t>
          </w:r>
          <w:r w:rsidRPr="00B6364B">
            <w:rPr>
              <w:rFonts w:cs="Arial"/>
              <w:sz w:val="20"/>
              <w:szCs w:val="20"/>
            </w:rPr>
            <w:fldChar w:fldCharType="end"/>
          </w:r>
        </w:p>
      </w:tc>
    </w:tr>
  </w:tbl>
  <w:p w:rsidR="00256CFF" w:rsidRDefault="00256C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CFF" w:rsidRDefault="00256CFF" w:rsidP="004A48B1">
      <w:pPr>
        <w:spacing w:after="0" w:line="240" w:lineRule="auto"/>
      </w:pPr>
      <w:r>
        <w:separator/>
      </w:r>
    </w:p>
  </w:footnote>
  <w:footnote w:type="continuationSeparator" w:id="0">
    <w:p w:rsidR="00256CFF" w:rsidRDefault="00256CFF" w:rsidP="004A48B1">
      <w:pPr>
        <w:spacing w:after="0" w:line="240" w:lineRule="auto"/>
      </w:pPr>
      <w:r>
        <w:continuationSeparator/>
      </w:r>
    </w:p>
  </w:footnote>
  <w:footnote w:id="1">
    <w:p w:rsidR="00820ADA" w:rsidRDefault="00820ADA" w:rsidP="004A3D13">
      <w:pPr>
        <w:spacing w:after="0"/>
        <w:ind w:left="-284"/>
        <w:jc w:val="both"/>
        <w:rPr>
          <w:i/>
          <w:color w:val="0070C0"/>
          <w:sz w:val="18"/>
          <w:szCs w:val="20"/>
        </w:rPr>
      </w:pPr>
      <w:r w:rsidRPr="007C35C9">
        <w:rPr>
          <w:rStyle w:val="Refdenotaalpie"/>
          <w:sz w:val="28"/>
          <w:szCs w:val="28"/>
        </w:rPr>
        <w:footnoteRef/>
      </w:r>
      <w:r>
        <w:t xml:space="preserve"> </w:t>
      </w:r>
      <w:r w:rsidRPr="004A3D13">
        <w:t xml:space="preserve">NOTA IMPORTANTE: </w:t>
      </w:r>
      <w:r w:rsidRPr="006E4B19">
        <w:rPr>
          <w:i/>
          <w:color w:val="0070C0"/>
          <w:sz w:val="18"/>
          <w:szCs w:val="20"/>
        </w:rPr>
        <w:t xml:space="preserve">La versión en castellano </w:t>
      </w:r>
      <w:r>
        <w:rPr>
          <w:i/>
          <w:color w:val="0070C0"/>
          <w:sz w:val="18"/>
          <w:szCs w:val="20"/>
        </w:rPr>
        <w:t xml:space="preserve">de estos documentos de la Comisión Europea </w:t>
      </w:r>
      <w:r w:rsidRPr="006E4B19">
        <w:rPr>
          <w:i/>
          <w:color w:val="0070C0"/>
          <w:sz w:val="18"/>
          <w:szCs w:val="20"/>
        </w:rPr>
        <w:t>no está aún disponible, cuando lo esté debería aparecer en este enlace</w:t>
      </w:r>
      <w:r>
        <w:rPr>
          <w:i/>
          <w:color w:val="0070C0"/>
          <w:sz w:val="18"/>
          <w:szCs w:val="20"/>
        </w:rPr>
        <w:t xml:space="preserve"> (</w:t>
      </w:r>
      <w:r w:rsidRPr="00D21AB1">
        <w:rPr>
          <w:i/>
          <w:color w:val="0070C0"/>
          <w:sz w:val="18"/>
          <w:szCs w:val="20"/>
          <w:highlight w:val="yellow"/>
        </w:rPr>
        <w:t xml:space="preserve">versión </w:t>
      </w:r>
      <w:r w:rsidRPr="00D21AB1">
        <w:rPr>
          <w:b/>
          <w:i/>
          <w:color w:val="0070C0"/>
          <w:sz w:val="18"/>
          <w:szCs w:val="20"/>
          <w:highlight w:val="yellow"/>
        </w:rPr>
        <w:t>ES</w:t>
      </w:r>
      <w:r>
        <w:rPr>
          <w:i/>
          <w:color w:val="0070C0"/>
          <w:sz w:val="18"/>
          <w:szCs w:val="20"/>
        </w:rPr>
        <w:t>)</w:t>
      </w:r>
      <w:r w:rsidRPr="006E4B19">
        <w:rPr>
          <w:i/>
          <w:color w:val="0070C0"/>
          <w:sz w:val="18"/>
          <w:szCs w:val="20"/>
        </w:rPr>
        <w:t xml:space="preserve">: </w:t>
      </w:r>
    </w:p>
    <w:p w:rsidR="00820ADA" w:rsidRPr="004A3D13" w:rsidRDefault="00882BA1" w:rsidP="004A3D13">
      <w:pPr>
        <w:spacing w:after="0"/>
        <w:ind w:left="-284"/>
        <w:jc w:val="both"/>
        <w:rPr>
          <w:rStyle w:val="Hipervnculo"/>
          <w:sz w:val="16"/>
        </w:rPr>
      </w:pPr>
      <w:hyperlink r:id="rId1" w:history="1">
        <w:r w:rsidR="007C35C9" w:rsidRPr="004A3D13">
          <w:rPr>
            <w:rStyle w:val="Hipervnculo"/>
            <w:i/>
            <w:sz w:val="16"/>
          </w:rPr>
          <w:t>https://ec.europa.eu/regional_policy/en/information/publications/decisions/2019/commission-decision-of-14-5-2019-laying-down-the-guidelines-for-determining-financial-corrections-to-be-made-to-expenditure-financed-by-the-union-for-non-compliance-with-the-applicable-rules-on-public-procurement</w:t>
        </w:r>
      </w:hyperlink>
    </w:p>
    <w:p w:rsidR="00820ADA" w:rsidRDefault="00820ADA" w:rsidP="00820ADA">
      <w:pPr>
        <w:pStyle w:val="Textonotapie"/>
        <w:tabs>
          <w:tab w:val="left" w:pos="990"/>
        </w:tabs>
      </w:pPr>
      <w:r>
        <w:tab/>
      </w:r>
    </w:p>
  </w:footnote>
  <w:footnote w:id="2">
    <w:p w:rsidR="00820ADA" w:rsidRPr="00B53C0A" w:rsidRDefault="00820ADA" w:rsidP="00820ADA">
      <w:pPr>
        <w:pStyle w:val="Textonotapie"/>
        <w:rPr>
          <w:b/>
        </w:rPr>
      </w:pPr>
      <w:r w:rsidRPr="00B53C0A">
        <w:rPr>
          <w:rStyle w:val="Refdenotaalpie"/>
          <w:b/>
          <w:sz w:val="28"/>
          <w:szCs w:val="28"/>
        </w:rPr>
        <w:footnoteRef/>
      </w:r>
      <w:r w:rsidRPr="00B53C0A">
        <w:rPr>
          <w:b/>
          <w:sz w:val="28"/>
          <w:szCs w:val="28"/>
          <w:vertAlign w:val="superscript"/>
        </w:rPr>
        <w:t xml:space="preserve"> </w:t>
      </w:r>
      <w:r w:rsidRPr="00B53C0A">
        <w:rPr>
          <w:b/>
        </w:rPr>
        <w:t xml:space="preserve">Para Procedimientos de Adjudicación Directa: </w:t>
      </w:r>
      <w:r w:rsidR="00F27099">
        <w:rPr>
          <w:b/>
        </w:rPr>
        <w:t xml:space="preserve">en </w:t>
      </w:r>
      <w:r w:rsidRPr="00B53C0A">
        <w:rPr>
          <w:b/>
        </w:rPr>
        <w:t>Contrato</w:t>
      </w:r>
      <w:r w:rsidR="00F27099">
        <w:rPr>
          <w:b/>
        </w:rPr>
        <w:t>s</w:t>
      </w:r>
      <w:r w:rsidRPr="00B53C0A">
        <w:rPr>
          <w:b/>
        </w:rPr>
        <w:t xml:space="preserve"> Menor</w:t>
      </w:r>
      <w:r w:rsidR="00F27099">
        <w:rPr>
          <w:b/>
        </w:rPr>
        <w:t>es</w:t>
      </w:r>
      <w:r w:rsidRPr="00B53C0A">
        <w:rPr>
          <w:b/>
        </w:rPr>
        <w:t xml:space="preserve"> la respuesta es </w:t>
      </w:r>
      <w:r w:rsidR="00F27099">
        <w:rPr>
          <w:b/>
        </w:rPr>
        <w:t>“</w:t>
      </w:r>
      <w:r w:rsidRPr="00B53C0A">
        <w:rPr>
          <w:b/>
        </w:rPr>
        <w:t>No Procede</w:t>
      </w:r>
      <w:r w:rsidR="00F27099">
        <w:rPr>
          <w:b/>
        </w:rPr>
        <w:t>”</w:t>
      </w:r>
    </w:p>
  </w:footnote>
  <w:footnote w:id="3">
    <w:p w:rsidR="00E05664" w:rsidRDefault="00E05664" w:rsidP="00E05664">
      <w:pPr>
        <w:pStyle w:val="Textonotapie"/>
      </w:pPr>
      <w:r w:rsidRPr="004F3F87">
        <w:rPr>
          <w:rStyle w:val="Refdenotaalpie"/>
          <w:sz w:val="18"/>
        </w:rPr>
        <w:footnoteRef/>
      </w:r>
      <w:r w:rsidRPr="004F3F87">
        <w:rPr>
          <w:sz w:val="18"/>
        </w:rPr>
        <w:t xml:space="preserve"> Texto Refundido de la Ley de Contratos del Sector Público, aprobado por el Real Decreto Legislativo 3/2011, de 14 de noviembre (TRLCSP)).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426" w:type="dxa"/>
      <w:tblLayout w:type="fixed"/>
      <w:tblCellMar>
        <w:left w:w="10" w:type="dxa"/>
        <w:right w:w="10" w:type="dxa"/>
      </w:tblCellMar>
      <w:tblLook w:val="04A0" w:firstRow="1" w:lastRow="0" w:firstColumn="1" w:lastColumn="0" w:noHBand="0" w:noVBand="1"/>
    </w:tblPr>
    <w:tblGrid>
      <w:gridCol w:w="9498"/>
    </w:tblGrid>
    <w:tr w:rsidR="00256CFF" w:rsidTr="00145749">
      <w:trPr>
        <w:trHeight w:val="1050"/>
      </w:trPr>
      <w:tc>
        <w:tcPr>
          <w:tcW w:w="9498" w:type="dxa"/>
          <w:tcMar>
            <w:top w:w="55" w:type="dxa"/>
            <w:left w:w="55" w:type="dxa"/>
            <w:bottom w:w="55" w:type="dxa"/>
            <w:right w:w="55" w:type="dxa"/>
          </w:tcMar>
          <w:hideMark/>
        </w:tcPr>
        <w:p w:rsidR="00256CFF" w:rsidRDefault="00256CFF" w:rsidP="00145749">
          <w:pPr>
            <w:pStyle w:val="Encabezado"/>
          </w:pPr>
        </w:p>
        <w:p w:rsidR="00256CFF" w:rsidRDefault="00256CFF" w:rsidP="00145749">
          <w:pPr>
            <w:pStyle w:val="Encabezado"/>
          </w:pPr>
        </w:p>
        <w:tbl>
          <w:tblPr>
            <w:tblW w:w="9481" w:type="dxa"/>
            <w:tblInd w:w="108" w:type="dxa"/>
            <w:tblBorders>
              <w:bottom w:val="single" w:sz="18" w:space="0" w:color="ED7D31" w:themeColor="accent2"/>
            </w:tblBorders>
            <w:tblLayout w:type="fixed"/>
            <w:tblLook w:val="04A0" w:firstRow="1" w:lastRow="0" w:firstColumn="1" w:lastColumn="0" w:noHBand="0" w:noVBand="1"/>
          </w:tblPr>
          <w:tblGrid>
            <w:gridCol w:w="1560"/>
            <w:gridCol w:w="376"/>
            <w:gridCol w:w="7545"/>
          </w:tblGrid>
          <w:tr w:rsidR="00256CFF" w:rsidTr="00497044">
            <w:trPr>
              <w:trHeight w:val="541"/>
            </w:trPr>
            <w:tc>
              <w:tcPr>
                <w:tcW w:w="1560" w:type="dxa"/>
                <w:shd w:val="clear" w:color="auto" w:fill="auto"/>
                <w:vAlign w:val="bottom"/>
              </w:tcPr>
              <w:p w:rsidR="00256CFF" w:rsidRDefault="00256CFF" w:rsidP="00145749">
                <w:pPr>
                  <w:pStyle w:val="Encabezado"/>
                </w:pPr>
              </w:p>
            </w:tc>
            <w:tc>
              <w:tcPr>
                <w:tcW w:w="376" w:type="dxa"/>
                <w:vAlign w:val="bottom"/>
              </w:tcPr>
              <w:p w:rsidR="00256CFF" w:rsidDel="00D334E9" w:rsidRDefault="00256CFF" w:rsidP="00145749">
                <w:pPr>
                  <w:pStyle w:val="Encabezado"/>
                  <w:rPr>
                    <w:noProof/>
                    <w:lang w:eastAsia="es-ES"/>
                  </w:rPr>
                </w:pPr>
                <w:r>
                  <w:rPr>
                    <w:b/>
                    <w:color w:val="000000"/>
                  </w:rPr>
                  <w:t xml:space="preserve"> </w:t>
                </w:r>
              </w:p>
            </w:tc>
            <w:tc>
              <w:tcPr>
                <w:tcW w:w="7545" w:type="dxa"/>
                <w:shd w:val="clear" w:color="auto" w:fill="auto"/>
                <w:vAlign w:val="bottom"/>
              </w:tcPr>
              <w:p w:rsidR="00256CFF" w:rsidRPr="00437DF3" w:rsidRDefault="00256CFF" w:rsidP="00145749">
                <w:pPr>
                  <w:pStyle w:val="Encabezado"/>
                  <w:rPr>
                    <w:sz w:val="28"/>
                  </w:rPr>
                </w:pPr>
              </w:p>
            </w:tc>
          </w:tr>
        </w:tbl>
        <w:p w:rsidR="00256CFF" w:rsidRPr="00FA6EE9" w:rsidRDefault="00256CFF" w:rsidP="00145749">
          <w:pPr>
            <w:pStyle w:val="Encabezado"/>
          </w:pPr>
          <w:r>
            <w:rPr>
              <w:noProof/>
              <w:lang w:eastAsia="es-ES"/>
            </w:rPr>
            <w:drawing>
              <wp:anchor distT="0" distB="0" distL="114300" distR="114300" simplePos="0" relativeHeight="251662336" behindDoc="1" locked="0" layoutInCell="1" allowOverlap="1" wp14:anchorId="135AC0CC" wp14:editId="1BA2FBD9">
                <wp:simplePos x="0" y="0"/>
                <wp:positionH relativeFrom="margin">
                  <wp:posOffset>974513</wp:posOffset>
                </wp:positionH>
                <wp:positionV relativeFrom="paragraph">
                  <wp:posOffset>-732790</wp:posOffset>
                </wp:positionV>
                <wp:extent cx="4996180" cy="633095"/>
                <wp:effectExtent l="0" t="0" r="0" b="0"/>
                <wp:wrapNone/>
                <wp:docPr id="7"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96180" cy="633095"/>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3360" behindDoc="0" locked="0" layoutInCell="1" allowOverlap="1" wp14:anchorId="56A46DFA" wp14:editId="7D1BE7DC">
                <wp:simplePos x="0" y="0"/>
                <wp:positionH relativeFrom="column">
                  <wp:posOffset>56303</wp:posOffset>
                </wp:positionH>
                <wp:positionV relativeFrom="paragraph">
                  <wp:posOffset>-732790</wp:posOffset>
                </wp:positionV>
                <wp:extent cx="845820" cy="676275"/>
                <wp:effectExtent l="0" t="0" r="0" b="9525"/>
                <wp:wrapNone/>
                <wp:docPr id="8"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extLst>
                            <a:ext uri="{28A0092B-C50C-407E-A947-70E740481C1C}">
                              <a14:useLocalDpi xmlns:a14="http://schemas.microsoft.com/office/drawing/2010/main" val="0"/>
                            </a:ext>
                          </a:extLst>
                        </a:blip>
                        <a:srcRect/>
                        <a:stretch>
                          <a:fillRect/>
                        </a:stretch>
                      </pic:blipFill>
                      <pic:spPr>
                        <a:xfrm>
                          <a:off x="0" y="0"/>
                          <a:ext cx="845820" cy="676275"/>
                        </a:xfrm>
                        <a:prstGeom prst="rect">
                          <a:avLst/>
                        </a:prstGeom>
                        <a:ln>
                          <a:noFill/>
                          <a:prstDash/>
                        </a:ln>
                      </pic:spPr>
                    </pic:pic>
                  </a:graphicData>
                </a:graphic>
                <wp14:sizeRelH relativeFrom="margin">
                  <wp14:pctWidth>0</wp14:pctWidth>
                </wp14:sizeRelH>
                <wp14:sizeRelV relativeFrom="margin">
                  <wp14:pctHeight>0</wp14:pctHeight>
                </wp14:sizeRelV>
              </wp:anchor>
            </w:drawing>
          </w:r>
        </w:p>
      </w:tc>
    </w:tr>
  </w:tbl>
  <w:p w:rsidR="00256CFF" w:rsidRDefault="00256C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CE"/>
    <w:rsid w:val="000474F5"/>
    <w:rsid w:val="000856B6"/>
    <w:rsid w:val="000A39E5"/>
    <w:rsid w:val="000A5CAC"/>
    <w:rsid w:val="000C0AB9"/>
    <w:rsid w:val="000C2DBA"/>
    <w:rsid w:val="000E5F5C"/>
    <w:rsid w:val="000F3BBD"/>
    <w:rsid w:val="0012277E"/>
    <w:rsid w:val="00145749"/>
    <w:rsid w:val="00174074"/>
    <w:rsid w:val="00191D84"/>
    <w:rsid w:val="00256CFF"/>
    <w:rsid w:val="00276516"/>
    <w:rsid w:val="002A21E0"/>
    <w:rsid w:val="003260EF"/>
    <w:rsid w:val="00393849"/>
    <w:rsid w:val="003B0716"/>
    <w:rsid w:val="00402867"/>
    <w:rsid w:val="004143BB"/>
    <w:rsid w:val="00497044"/>
    <w:rsid w:val="004A3D13"/>
    <w:rsid w:val="004A48B1"/>
    <w:rsid w:val="00506000"/>
    <w:rsid w:val="0050620F"/>
    <w:rsid w:val="005445FA"/>
    <w:rsid w:val="005E34CF"/>
    <w:rsid w:val="00653F63"/>
    <w:rsid w:val="006A6CC9"/>
    <w:rsid w:val="006D03CC"/>
    <w:rsid w:val="006D6CEA"/>
    <w:rsid w:val="006E4B19"/>
    <w:rsid w:val="00725F5E"/>
    <w:rsid w:val="007428BB"/>
    <w:rsid w:val="00783BCD"/>
    <w:rsid w:val="007A0A9F"/>
    <w:rsid w:val="007B33CE"/>
    <w:rsid w:val="007C35C9"/>
    <w:rsid w:val="007C4F43"/>
    <w:rsid w:val="007E7E94"/>
    <w:rsid w:val="00820ADA"/>
    <w:rsid w:val="0084305B"/>
    <w:rsid w:val="00846902"/>
    <w:rsid w:val="00863B6F"/>
    <w:rsid w:val="00882BA1"/>
    <w:rsid w:val="008C14A7"/>
    <w:rsid w:val="008E7853"/>
    <w:rsid w:val="00924C3E"/>
    <w:rsid w:val="00941713"/>
    <w:rsid w:val="00953E33"/>
    <w:rsid w:val="00986FB0"/>
    <w:rsid w:val="00991BC2"/>
    <w:rsid w:val="00995688"/>
    <w:rsid w:val="009C13E6"/>
    <w:rsid w:val="00A120BE"/>
    <w:rsid w:val="00A27A51"/>
    <w:rsid w:val="00B53C0A"/>
    <w:rsid w:val="00B82AF5"/>
    <w:rsid w:val="00B8404D"/>
    <w:rsid w:val="00BA207E"/>
    <w:rsid w:val="00BD13C8"/>
    <w:rsid w:val="00C46BD2"/>
    <w:rsid w:val="00C87E4F"/>
    <w:rsid w:val="00D17BE2"/>
    <w:rsid w:val="00D21AB1"/>
    <w:rsid w:val="00D456BD"/>
    <w:rsid w:val="00DB6049"/>
    <w:rsid w:val="00DB7FA1"/>
    <w:rsid w:val="00E05664"/>
    <w:rsid w:val="00E43066"/>
    <w:rsid w:val="00EC6AAF"/>
    <w:rsid w:val="00F27099"/>
    <w:rsid w:val="00F47BDE"/>
    <w:rsid w:val="00F644D6"/>
    <w:rsid w:val="00FF51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8C6146B-6525-4B28-B8D6-CBFE5948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B33CE"/>
    <w:rPr>
      <w:rFonts w:asciiTheme="minorHAnsi" w:hAnsiTheme="minorHAnsi"/>
      <w:color w:val="0000FF"/>
      <w:sz w:val="24"/>
      <w:u w:val="single"/>
    </w:rPr>
  </w:style>
  <w:style w:type="character" w:styleId="Hipervnculovisitado">
    <w:name w:val="FollowedHyperlink"/>
    <w:basedOn w:val="Fuentedeprrafopredeter"/>
    <w:uiPriority w:val="99"/>
    <w:semiHidden/>
    <w:unhideWhenUsed/>
    <w:rsid w:val="000856B6"/>
    <w:rPr>
      <w:color w:val="954F72" w:themeColor="followedHyperlink"/>
      <w:u w:val="single"/>
    </w:rPr>
  </w:style>
  <w:style w:type="paragraph" w:styleId="Encabezado">
    <w:name w:val="header"/>
    <w:basedOn w:val="Normal"/>
    <w:link w:val="EncabezadoCar"/>
    <w:uiPriority w:val="99"/>
    <w:unhideWhenUsed/>
    <w:rsid w:val="004A48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48B1"/>
  </w:style>
  <w:style w:type="paragraph" w:styleId="Piedepgina">
    <w:name w:val="footer"/>
    <w:basedOn w:val="Normal"/>
    <w:link w:val="PiedepginaCar"/>
    <w:uiPriority w:val="99"/>
    <w:unhideWhenUsed/>
    <w:rsid w:val="004A48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48B1"/>
  </w:style>
  <w:style w:type="paragraph" w:customStyle="1" w:styleId="Heading">
    <w:name w:val="Heading"/>
    <w:basedOn w:val="Normal"/>
    <w:rsid w:val="004A48B1"/>
    <w:pPr>
      <w:tabs>
        <w:tab w:val="center" w:pos="4252"/>
        <w:tab w:val="right" w:pos="8504"/>
      </w:tabs>
      <w:suppressAutoHyphens/>
      <w:autoSpaceDN w:val="0"/>
      <w:spacing w:after="0" w:line="240" w:lineRule="auto"/>
      <w:jc w:val="both"/>
    </w:pPr>
    <w:rPr>
      <w:rFonts w:ascii="Calibri" w:eastAsia="Calibri" w:hAnsi="Calibri" w:cs="Times New Roman"/>
    </w:rPr>
  </w:style>
  <w:style w:type="paragraph" w:customStyle="1" w:styleId="TableContents">
    <w:name w:val="Table Contents"/>
    <w:basedOn w:val="Normal"/>
    <w:rsid w:val="004A48B1"/>
    <w:pPr>
      <w:suppressLineNumbers/>
      <w:autoSpaceDN w:val="0"/>
      <w:spacing w:after="200" w:line="276"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5E3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4CF"/>
    <w:rPr>
      <w:rFonts w:ascii="Tahoma" w:hAnsi="Tahoma" w:cs="Tahoma"/>
      <w:sz w:val="16"/>
      <w:szCs w:val="16"/>
    </w:rPr>
  </w:style>
  <w:style w:type="paragraph" w:styleId="Textonotapie">
    <w:name w:val="footnote text"/>
    <w:basedOn w:val="Normal"/>
    <w:link w:val="TextonotapieCar"/>
    <w:uiPriority w:val="99"/>
    <w:semiHidden/>
    <w:unhideWhenUsed/>
    <w:rsid w:val="006E4B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4B19"/>
    <w:rPr>
      <w:sz w:val="20"/>
      <w:szCs w:val="20"/>
    </w:rPr>
  </w:style>
  <w:style w:type="character" w:styleId="Refdenotaalpie">
    <w:name w:val="footnote reference"/>
    <w:basedOn w:val="Fuentedeprrafopredeter"/>
    <w:uiPriority w:val="99"/>
    <w:unhideWhenUsed/>
    <w:rsid w:val="006E4B19"/>
    <w:rPr>
      <w:vertAlign w:val="superscript"/>
    </w:rPr>
  </w:style>
  <w:style w:type="character" w:customStyle="1" w:styleId="UnresolvedMention">
    <w:name w:val="Unresolved Mention"/>
    <w:basedOn w:val="Fuentedeprrafopredeter"/>
    <w:uiPriority w:val="99"/>
    <w:semiHidden/>
    <w:unhideWhenUsed/>
    <w:rsid w:val="007C3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1797">
      <w:bodyDiv w:val="1"/>
      <w:marLeft w:val="0"/>
      <w:marRight w:val="0"/>
      <w:marTop w:val="0"/>
      <w:marBottom w:val="0"/>
      <w:divBdr>
        <w:top w:val="none" w:sz="0" w:space="0" w:color="auto"/>
        <w:left w:val="none" w:sz="0" w:space="0" w:color="auto"/>
        <w:bottom w:val="none" w:sz="0" w:space="0" w:color="auto"/>
        <w:right w:val="none" w:sz="0" w:space="0" w:color="auto"/>
      </w:divBdr>
    </w:div>
    <w:div w:id="507405408">
      <w:bodyDiv w:val="1"/>
      <w:marLeft w:val="0"/>
      <w:marRight w:val="0"/>
      <w:marTop w:val="0"/>
      <w:marBottom w:val="0"/>
      <w:divBdr>
        <w:top w:val="none" w:sz="0" w:space="0" w:color="auto"/>
        <w:left w:val="none" w:sz="0" w:space="0" w:color="auto"/>
        <w:bottom w:val="none" w:sz="0" w:space="0" w:color="auto"/>
        <w:right w:val="none" w:sz="0" w:space="0" w:color="auto"/>
      </w:divBdr>
    </w:div>
    <w:div w:id="1500729943">
      <w:bodyDiv w:val="1"/>
      <w:marLeft w:val="0"/>
      <w:marRight w:val="0"/>
      <w:marTop w:val="0"/>
      <w:marBottom w:val="0"/>
      <w:divBdr>
        <w:top w:val="none" w:sz="0" w:space="0" w:color="auto"/>
        <w:left w:val="none" w:sz="0" w:space="0" w:color="auto"/>
        <w:bottom w:val="none" w:sz="0" w:space="0" w:color="auto"/>
        <w:right w:val="none" w:sz="0" w:space="0" w:color="auto"/>
      </w:divBdr>
    </w:div>
    <w:div w:id="1632251487">
      <w:bodyDiv w:val="1"/>
      <w:marLeft w:val="0"/>
      <w:marRight w:val="0"/>
      <w:marTop w:val="0"/>
      <w:marBottom w:val="0"/>
      <w:divBdr>
        <w:top w:val="none" w:sz="0" w:space="0" w:color="auto"/>
        <w:left w:val="none" w:sz="0" w:space="0" w:color="auto"/>
        <w:bottom w:val="none" w:sz="0" w:space="0" w:color="auto"/>
        <w:right w:val="none" w:sz="0" w:space="0" w:color="auto"/>
      </w:divBdr>
    </w:div>
    <w:div w:id="20205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sources/docgener/informat/2014/GL_corrections_pp_irregularities_annex_EN.pdf" TargetMode="External"/><Relationship Id="rId3" Type="http://schemas.openxmlformats.org/officeDocument/2006/relationships/settings" Target="settings.xml"/><Relationship Id="rId7" Type="http://schemas.openxmlformats.org/officeDocument/2006/relationships/hyperlink" Target="https://ec.europa.eu/regional_policy/sources/docgener/informat/2014/GL_corrections_pp_irregularities_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en/information/publications/decisions/2019/commission-decision-of-14-5-2019-laying-down-the-guidelines-for-determining-financial-corrections-to-be-made-to-expenditure-financed-by-the-union-for-non-compliance-with-the-applicable-rules-on-public-procur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2CCE-6D45-4C51-8D85-28DC3823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2642</Words>
  <Characters>14537</Characters>
  <Application>Microsoft Office Word</Application>
  <DocSecurity>4</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Olimpia Tejera Garcia</dc:creator>
  <cp:lastModifiedBy>Marie Noëlle Andree Faillenot</cp:lastModifiedBy>
  <cp:revision>2</cp:revision>
  <cp:lastPrinted>2019-10-16T08:44:00Z</cp:lastPrinted>
  <dcterms:created xsi:type="dcterms:W3CDTF">2019-10-24T14:22:00Z</dcterms:created>
  <dcterms:modified xsi:type="dcterms:W3CDTF">2019-10-24T14:22:00Z</dcterms:modified>
</cp:coreProperties>
</file>